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7"/>
        <w:tblW w:w="8582" w:type="dxa"/>
        <w:jc w:val="center"/>
        <w:tblInd w:w="0" w:type="dxa"/>
        <w:tblLayout w:type="fixed"/>
        <w:tblCellMar>
          <w:top w:w="0" w:type="dxa"/>
          <w:left w:w="0" w:type="dxa"/>
          <w:bottom w:w="0" w:type="dxa"/>
          <w:right w:w="0" w:type="dxa"/>
        </w:tblCellMar>
      </w:tblPr>
      <w:tblGrid>
        <w:gridCol w:w="1134"/>
        <w:gridCol w:w="3685"/>
        <w:gridCol w:w="851"/>
        <w:gridCol w:w="2912"/>
      </w:tblGrid>
      <w:tr>
        <w:tblPrEx>
          <w:tblLayout w:type="fixed"/>
        </w:tblPrEx>
        <w:trPr>
          <w:jc w:val="center"/>
        </w:trPr>
        <w:tc>
          <w:tcPr>
            <w:tcW w:w="1134" w:type="dxa"/>
            <w:vAlign w:val="center"/>
          </w:tcPr>
          <w:p>
            <w:pPr>
              <w:pStyle w:val="14"/>
              <w:ind w:right="-278" w:rightChars="-139"/>
              <w:jc w:val="both"/>
              <w:rPr>
                <w:rStyle w:val="13"/>
                <w:rFonts w:ascii="微软雅黑" w:hAnsi="微软雅黑" w:eastAsia="微软雅黑"/>
                <w:sz w:val="24"/>
              </w:rPr>
            </w:pPr>
            <w:r>
              <w:rPr>
                <w:rStyle w:val="13"/>
                <w:rFonts w:hint="eastAsia" w:ascii="微软雅黑" w:hAnsi="微软雅黑" w:eastAsia="微软雅黑"/>
                <w:sz w:val="24"/>
              </w:rPr>
              <w:t>报价单位：</w:t>
            </w:r>
          </w:p>
        </w:tc>
        <w:tc>
          <w:tcPr>
            <w:tcW w:w="3685" w:type="dxa"/>
            <w:tcBorders>
              <w:bottom w:val="single" w:color="auto" w:sz="4" w:space="0"/>
            </w:tcBorders>
            <w:vAlign w:val="center"/>
          </w:tcPr>
          <w:p>
            <w:pPr>
              <w:pStyle w:val="14"/>
              <w:jc w:val="both"/>
              <w:rPr>
                <w:sz w:val="21"/>
              </w:rPr>
            </w:pPr>
          </w:p>
        </w:tc>
        <w:tc>
          <w:tcPr>
            <w:tcW w:w="851" w:type="dxa"/>
            <w:vAlign w:val="center"/>
          </w:tcPr>
          <w:p>
            <w:pPr>
              <w:pStyle w:val="14"/>
              <w:jc w:val="both"/>
              <w:rPr>
                <w:rFonts w:ascii="微软雅黑" w:hAnsi="微软雅黑" w:eastAsia="微软雅黑"/>
                <w:sz w:val="24"/>
              </w:rPr>
            </w:pPr>
            <w:r>
              <w:rPr>
                <w:rStyle w:val="13"/>
                <w:rFonts w:hint="eastAsia" w:ascii="微软雅黑" w:hAnsi="微软雅黑" w:eastAsia="微软雅黑"/>
                <w:sz w:val="24"/>
              </w:rPr>
              <w:t>联系人：</w:t>
            </w:r>
          </w:p>
        </w:tc>
        <w:tc>
          <w:tcPr>
            <w:tcW w:w="2912" w:type="dxa"/>
            <w:tcBorders>
              <w:bottom w:val="single" w:color="auto" w:sz="4" w:space="0"/>
            </w:tcBorders>
            <w:vAlign w:val="center"/>
          </w:tcPr>
          <w:p>
            <w:pPr>
              <w:pStyle w:val="14"/>
              <w:ind w:firstLine="290" w:firstLineChars="121"/>
              <w:jc w:val="both"/>
              <w:rPr>
                <w:sz w:val="24"/>
              </w:rPr>
            </w:pPr>
          </w:p>
        </w:tc>
      </w:tr>
      <w:tr>
        <w:tblPrEx>
          <w:tblLayout w:type="fixed"/>
          <w:tblCellMar>
            <w:top w:w="0" w:type="dxa"/>
            <w:left w:w="0" w:type="dxa"/>
            <w:bottom w:w="0" w:type="dxa"/>
            <w:right w:w="0" w:type="dxa"/>
          </w:tblCellMar>
        </w:tblPrEx>
        <w:trPr>
          <w:jc w:val="center"/>
        </w:trPr>
        <w:tc>
          <w:tcPr>
            <w:tcW w:w="1134" w:type="dxa"/>
            <w:vAlign w:val="center"/>
          </w:tcPr>
          <w:p>
            <w:pPr>
              <w:pStyle w:val="14"/>
              <w:ind w:right="-178" w:rightChars="-89"/>
              <w:jc w:val="both"/>
              <w:rPr>
                <w:rStyle w:val="13"/>
                <w:rFonts w:ascii="微软雅黑" w:hAnsi="微软雅黑" w:eastAsia="微软雅黑"/>
                <w:sz w:val="24"/>
              </w:rPr>
            </w:pPr>
            <w:r>
              <w:rPr>
                <w:rStyle w:val="13"/>
                <w:rFonts w:hint="eastAsia" w:ascii="微软雅黑" w:hAnsi="微软雅黑" w:eastAsia="微软雅黑"/>
                <w:sz w:val="24"/>
              </w:rPr>
              <w:t>联系电话：</w:t>
            </w:r>
          </w:p>
        </w:tc>
        <w:tc>
          <w:tcPr>
            <w:tcW w:w="3685" w:type="dxa"/>
            <w:tcBorders>
              <w:top w:val="single" w:color="auto" w:sz="4" w:space="0"/>
              <w:bottom w:val="single" w:color="auto" w:sz="4" w:space="0"/>
            </w:tcBorders>
            <w:vAlign w:val="center"/>
          </w:tcPr>
          <w:p>
            <w:pPr>
              <w:pStyle w:val="14"/>
              <w:jc w:val="both"/>
              <w:rPr>
                <w:sz w:val="21"/>
              </w:rPr>
            </w:pPr>
            <w:r>
              <w:rPr>
                <w:rFonts w:hint="eastAsia"/>
                <w:sz w:val="21"/>
              </w:rPr>
              <w:t xml:space="preserve"> </w:t>
            </w:r>
            <w:r>
              <w:rPr>
                <w:sz w:val="21"/>
              </w:rPr>
              <w:t xml:space="preserve"> </w:t>
            </w:r>
          </w:p>
        </w:tc>
        <w:tc>
          <w:tcPr>
            <w:tcW w:w="851" w:type="dxa"/>
            <w:vAlign w:val="center"/>
          </w:tcPr>
          <w:p>
            <w:pPr>
              <w:pStyle w:val="14"/>
              <w:jc w:val="both"/>
              <w:rPr>
                <w:rFonts w:ascii="微软雅黑" w:hAnsi="微软雅黑" w:eastAsia="微软雅黑"/>
                <w:sz w:val="24"/>
              </w:rPr>
            </w:pPr>
            <w:r>
              <w:rPr>
                <w:rStyle w:val="13"/>
                <w:rFonts w:hint="eastAsia" w:ascii="微软雅黑" w:hAnsi="微软雅黑" w:eastAsia="微软雅黑"/>
                <w:sz w:val="24"/>
              </w:rPr>
              <w:t>日期：</w:t>
            </w:r>
          </w:p>
        </w:tc>
        <w:tc>
          <w:tcPr>
            <w:tcW w:w="2912" w:type="dxa"/>
            <w:tcBorders>
              <w:top w:val="single" w:color="auto" w:sz="4" w:space="0"/>
              <w:bottom w:val="single" w:color="auto" w:sz="4" w:space="0"/>
            </w:tcBorders>
            <w:vAlign w:val="center"/>
          </w:tcPr>
          <w:p>
            <w:pPr>
              <w:pStyle w:val="14"/>
              <w:ind w:firstLine="290" w:firstLineChars="121"/>
              <w:jc w:val="both"/>
              <w:rPr>
                <w:sz w:val="24"/>
              </w:rPr>
            </w:pPr>
          </w:p>
        </w:tc>
      </w:tr>
      <w:tr>
        <w:tblPrEx>
          <w:tblLayout w:type="fixed"/>
          <w:tblCellMar>
            <w:top w:w="0" w:type="dxa"/>
            <w:left w:w="0" w:type="dxa"/>
            <w:bottom w:w="0" w:type="dxa"/>
            <w:right w:w="0" w:type="dxa"/>
          </w:tblCellMar>
        </w:tblPrEx>
        <w:trPr>
          <w:jc w:val="center"/>
        </w:trPr>
        <w:tc>
          <w:tcPr>
            <w:tcW w:w="1134" w:type="dxa"/>
            <w:vAlign w:val="center"/>
          </w:tcPr>
          <w:p>
            <w:pPr>
              <w:pStyle w:val="14"/>
              <w:jc w:val="both"/>
              <w:rPr>
                <w:rStyle w:val="13"/>
                <w:rFonts w:ascii="微软雅黑" w:hAnsi="微软雅黑" w:eastAsia="微软雅黑"/>
                <w:sz w:val="24"/>
              </w:rPr>
            </w:pPr>
            <w:r>
              <w:rPr>
                <w:rStyle w:val="13"/>
                <w:rFonts w:hint="eastAsia" w:ascii="微软雅黑" w:hAnsi="微软雅黑" w:eastAsia="微软雅黑"/>
                <w:sz w:val="24"/>
              </w:rPr>
              <w:t>主题：</w:t>
            </w:r>
          </w:p>
        </w:tc>
        <w:tc>
          <w:tcPr>
            <w:tcW w:w="3685" w:type="dxa"/>
            <w:tcBorders>
              <w:top w:val="single" w:color="auto" w:sz="4" w:space="0"/>
              <w:bottom w:val="single" w:color="auto" w:sz="4" w:space="0"/>
            </w:tcBorders>
            <w:vAlign w:val="center"/>
          </w:tcPr>
          <w:p>
            <w:pPr>
              <w:rPr>
                <w:sz w:val="24"/>
                <w:szCs w:val="24"/>
              </w:rPr>
            </w:pPr>
            <w:r>
              <w:rPr>
                <w:rFonts w:hint="eastAsia"/>
                <w:sz w:val="24"/>
                <w:szCs w:val="24"/>
              </w:rPr>
              <w:t>人文学院金竹校区学术报告厅电子屏幕</w:t>
            </w:r>
          </w:p>
        </w:tc>
        <w:tc>
          <w:tcPr>
            <w:tcW w:w="851" w:type="dxa"/>
            <w:vAlign w:val="center"/>
          </w:tcPr>
          <w:p>
            <w:pPr>
              <w:pStyle w:val="14"/>
              <w:jc w:val="both"/>
              <w:rPr>
                <w:rFonts w:ascii="微软雅黑" w:hAnsi="微软雅黑" w:eastAsia="微软雅黑"/>
                <w:sz w:val="24"/>
              </w:rPr>
            </w:pPr>
            <w:r>
              <w:rPr>
                <w:rStyle w:val="13"/>
                <w:rFonts w:hint="eastAsia" w:ascii="微软雅黑" w:hAnsi="微软雅黑" w:eastAsia="微软雅黑"/>
                <w:sz w:val="24"/>
              </w:rPr>
              <w:t>页数：</w:t>
            </w:r>
          </w:p>
        </w:tc>
        <w:tc>
          <w:tcPr>
            <w:tcW w:w="2912" w:type="dxa"/>
            <w:tcBorders>
              <w:top w:val="single" w:color="auto" w:sz="4" w:space="0"/>
              <w:bottom w:val="single" w:color="auto" w:sz="4" w:space="0"/>
            </w:tcBorders>
            <w:vAlign w:val="center"/>
          </w:tcPr>
          <w:p>
            <w:pPr>
              <w:pStyle w:val="14"/>
              <w:ind w:firstLine="290" w:firstLineChars="121"/>
              <w:jc w:val="both"/>
              <w:rPr>
                <w:sz w:val="24"/>
              </w:rPr>
            </w:pPr>
            <w:r>
              <w:rPr>
                <w:sz w:val="24"/>
              </w:rPr>
              <w:t>10</w:t>
            </w:r>
          </w:p>
        </w:tc>
      </w:tr>
    </w:tbl>
    <w:tbl>
      <w:tblPr>
        <w:tblStyle w:val="8"/>
        <w:tblpPr w:leftFromText="180" w:rightFromText="180" w:vertAnchor="text" w:horzAnchor="margin" w:tblpY="724"/>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6"/>
        <w:gridCol w:w="3969"/>
        <w:gridCol w:w="896"/>
        <w:gridCol w:w="1231"/>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850" w:type="dxa"/>
            <w:vAlign w:val="center"/>
          </w:tcPr>
          <w:p>
            <w:pPr>
              <w:pStyle w:val="6"/>
              <w:widowControl w:val="0"/>
              <w:jc w:val="center"/>
              <w:rPr>
                <w:rStyle w:val="10"/>
                <w:b w:val="0"/>
                <w:szCs w:val="18"/>
              </w:rPr>
            </w:pPr>
            <w:r>
              <w:rPr>
                <w:rStyle w:val="10"/>
                <w:rFonts w:hint="eastAsia"/>
                <w:szCs w:val="18"/>
              </w:rPr>
              <w:t>序号</w:t>
            </w:r>
          </w:p>
        </w:tc>
        <w:tc>
          <w:tcPr>
            <w:tcW w:w="846" w:type="dxa"/>
            <w:vAlign w:val="center"/>
          </w:tcPr>
          <w:p>
            <w:pPr>
              <w:pStyle w:val="6"/>
              <w:widowControl w:val="0"/>
              <w:jc w:val="center"/>
              <w:rPr>
                <w:rStyle w:val="10"/>
                <w:b w:val="0"/>
                <w:szCs w:val="18"/>
              </w:rPr>
            </w:pPr>
            <w:r>
              <w:rPr>
                <w:rStyle w:val="10"/>
                <w:rFonts w:hint="eastAsia"/>
                <w:szCs w:val="18"/>
              </w:rPr>
              <w:t>名称</w:t>
            </w:r>
          </w:p>
        </w:tc>
        <w:tc>
          <w:tcPr>
            <w:tcW w:w="3969" w:type="dxa"/>
            <w:vAlign w:val="center"/>
          </w:tcPr>
          <w:p>
            <w:pPr>
              <w:pStyle w:val="6"/>
              <w:widowControl w:val="0"/>
              <w:jc w:val="center"/>
              <w:rPr>
                <w:rStyle w:val="10"/>
                <w:b w:val="0"/>
                <w:szCs w:val="18"/>
              </w:rPr>
            </w:pPr>
            <w:r>
              <w:rPr>
                <w:rStyle w:val="10"/>
                <w:rFonts w:hint="eastAsia"/>
                <w:szCs w:val="18"/>
              </w:rPr>
              <w:t>型号或规格</w:t>
            </w:r>
          </w:p>
        </w:tc>
        <w:tc>
          <w:tcPr>
            <w:tcW w:w="896" w:type="dxa"/>
            <w:vAlign w:val="center"/>
          </w:tcPr>
          <w:p>
            <w:pPr>
              <w:pStyle w:val="6"/>
              <w:widowControl w:val="0"/>
              <w:jc w:val="center"/>
              <w:rPr>
                <w:rStyle w:val="10"/>
                <w:szCs w:val="18"/>
              </w:rPr>
            </w:pPr>
            <w:r>
              <w:rPr>
                <w:rStyle w:val="10"/>
                <w:rFonts w:hint="eastAsia"/>
                <w:szCs w:val="18"/>
              </w:rPr>
              <w:t>单价</w:t>
            </w:r>
          </w:p>
        </w:tc>
        <w:tc>
          <w:tcPr>
            <w:tcW w:w="1231" w:type="dxa"/>
            <w:vAlign w:val="center"/>
          </w:tcPr>
          <w:p>
            <w:pPr>
              <w:pStyle w:val="6"/>
              <w:widowControl w:val="0"/>
              <w:jc w:val="center"/>
              <w:rPr>
                <w:rStyle w:val="10"/>
                <w:b w:val="0"/>
                <w:szCs w:val="18"/>
              </w:rPr>
            </w:pPr>
            <w:r>
              <w:rPr>
                <w:rStyle w:val="10"/>
                <w:rFonts w:hint="eastAsia"/>
                <w:szCs w:val="18"/>
              </w:rPr>
              <w:t>数量</w:t>
            </w:r>
          </w:p>
        </w:tc>
        <w:tc>
          <w:tcPr>
            <w:tcW w:w="1327" w:type="dxa"/>
            <w:vAlign w:val="center"/>
          </w:tcPr>
          <w:p>
            <w:pPr>
              <w:pStyle w:val="6"/>
              <w:widowControl w:val="0"/>
              <w:jc w:val="center"/>
              <w:rPr>
                <w:rStyle w:val="10"/>
                <w:b w:val="0"/>
                <w:szCs w:val="18"/>
              </w:rPr>
            </w:pPr>
            <w:r>
              <w:rPr>
                <w:rStyle w:val="10"/>
                <w:rFonts w:hint="eastAsia"/>
                <w:szCs w:val="1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9119" w:type="dxa"/>
            <w:gridSpan w:val="6"/>
            <w:vAlign w:val="center"/>
          </w:tcPr>
          <w:p>
            <w:pPr>
              <w:rPr>
                <w:rStyle w:val="10"/>
                <w:rFonts w:ascii="Helvetica" w:hAnsi="Helvetica" w:cs="Helvetica"/>
                <w:b w:val="0"/>
                <w:bCs w:val="0"/>
                <w:color w:val="333333"/>
                <w:sz w:val="21"/>
                <w:szCs w:val="21"/>
                <w:shd w:val="clear" w:color="auto" w:fill="FFFFFF"/>
              </w:rPr>
            </w:pPr>
            <w:r>
              <w:rPr>
                <w:rStyle w:val="10"/>
                <w:rFonts w:hint="eastAsia" w:ascii="宋体" w:hAnsi="宋体" w:cs="宋体"/>
                <w:sz w:val="24"/>
                <w:szCs w:val="18"/>
              </w:rPr>
              <w:t>推荐品牌：</w:t>
            </w:r>
            <w:r>
              <w:rPr>
                <w:rStyle w:val="10"/>
                <w:rFonts w:ascii="宋体" w:hAnsi="宋体" w:cs="宋体"/>
                <w:sz w:val="24"/>
                <w:szCs w:val="18"/>
              </w:rPr>
              <w:t>洲明 ，利亚德 ，海康威视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jc w:val="center"/>
              <w:rPr>
                <w:rStyle w:val="10"/>
                <w:rFonts w:ascii="华文楷体" w:hAnsi="华文楷体" w:eastAsia="华文楷体"/>
                <w:b w:val="0"/>
                <w:bCs w:val="0"/>
                <w:sz w:val="21"/>
                <w:szCs w:val="21"/>
              </w:rPr>
            </w:pPr>
            <w:r>
              <w:rPr>
                <w:rStyle w:val="10"/>
                <w:rFonts w:ascii="华文楷体" w:hAnsi="华文楷体" w:eastAsia="华文楷体"/>
                <w:b w:val="0"/>
                <w:bCs w:val="0"/>
                <w:sz w:val="21"/>
                <w:szCs w:val="21"/>
              </w:rPr>
              <w:t>1</w:t>
            </w:r>
          </w:p>
        </w:tc>
        <w:tc>
          <w:tcPr>
            <w:tcW w:w="846" w:type="dxa"/>
            <w:vAlign w:val="center"/>
          </w:tcPr>
          <w:p>
            <w:pPr>
              <w:rPr>
                <w:rFonts w:ascii="华文楷体" w:hAnsi="华文楷体" w:eastAsia="华文楷体"/>
                <w:sz w:val="21"/>
                <w:szCs w:val="21"/>
              </w:rPr>
            </w:pPr>
            <w:r>
              <w:rPr>
                <w:rFonts w:hint="eastAsia" w:ascii="宋体" w:hAnsi="宋体" w:cs="宋体"/>
                <w:color w:val="000000"/>
              </w:rPr>
              <w:t>室内P2.0全彩LED显示屏</w:t>
            </w:r>
          </w:p>
        </w:tc>
        <w:tc>
          <w:tcPr>
            <w:tcW w:w="3969" w:type="dxa"/>
            <w:vAlign w:val="center"/>
          </w:tcPr>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★点间距：≤2.0mm；</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屏体显示尺寸：5760mm（宽）*2080mm（高）</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封装方式：发光芯片采用一线品牌铜线封装；</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维护方式：箱体结构；</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显示屏亮度：≥500cd/m2；</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 xml:space="preserve">刷新率：≥3840Hz； </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像素结构</w:t>
            </w:r>
            <w:r>
              <w:rPr>
                <w:rFonts w:hint="eastAsia" w:ascii="宋体" w:hAnsi="宋体" w:cs="宋体"/>
              </w:rPr>
              <w:tab/>
            </w:r>
            <w:r>
              <w:rPr>
                <w:rFonts w:hint="eastAsia" w:ascii="宋体" w:hAnsi="宋体" w:cs="宋体"/>
              </w:rPr>
              <w:t>1R1G1B</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LED封装方式</w:t>
            </w:r>
            <w:r>
              <w:rPr>
                <w:rFonts w:hint="eastAsia" w:ascii="宋体" w:hAnsi="宋体" w:cs="宋体"/>
              </w:rPr>
              <w:tab/>
            </w:r>
            <w:r>
              <w:rPr>
                <w:rFonts w:hint="eastAsia" w:ascii="宋体" w:hAnsi="宋体" w:cs="宋体"/>
              </w:rPr>
              <w:t>表贴三合一LED</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能源效率</w:t>
            </w:r>
            <w:r>
              <w:rPr>
                <w:rFonts w:hint="eastAsia" w:ascii="宋体" w:hAnsi="宋体" w:cs="宋体"/>
              </w:rPr>
              <w:tab/>
            </w:r>
            <w:r>
              <w:rPr>
                <w:rFonts w:hint="eastAsia" w:ascii="宋体" w:hAnsi="宋体" w:cs="宋体"/>
              </w:rPr>
              <w:t>≥3cd/㎡</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箱体平整度</w:t>
            </w:r>
            <w:r>
              <w:rPr>
                <w:rFonts w:hint="eastAsia" w:ascii="宋体" w:hAnsi="宋体" w:cs="宋体"/>
              </w:rPr>
              <w:tab/>
            </w:r>
            <w:r>
              <w:rPr>
                <w:rFonts w:hint="eastAsia" w:ascii="宋体" w:hAnsi="宋体" w:cs="宋体"/>
              </w:rPr>
              <w:t>≤0.2mm</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箱体强度</w:t>
            </w:r>
            <w:r>
              <w:rPr>
                <w:rFonts w:hint="eastAsia" w:ascii="宋体" w:hAnsi="宋体" w:cs="宋体"/>
              </w:rPr>
              <w:tab/>
            </w:r>
            <w:r>
              <w:rPr>
                <w:rFonts w:hint="eastAsia" w:ascii="宋体" w:hAnsi="宋体" w:cs="宋体"/>
              </w:rPr>
              <w:t>箱体抗拉强度&gt;230Mpa，屈服强度&gt;130Mpa,硬度&gt;60HBS；</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校正曲线</w:t>
            </w:r>
            <w:r>
              <w:rPr>
                <w:rFonts w:hint="eastAsia" w:ascii="宋体" w:hAnsi="宋体" w:cs="宋体"/>
              </w:rPr>
              <w:tab/>
            </w:r>
            <w:r>
              <w:rPr>
                <w:rFonts w:hint="eastAsia" w:ascii="宋体" w:hAnsi="宋体" w:cs="宋体"/>
              </w:rPr>
              <w:t>具备20条以上可选择的v校正曲线</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色温范围</w:t>
            </w:r>
            <w:r>
              <w:rPr>
                <w:rFonts w:hint="eastAsia" w:ascii="宋体" w:hAnsi="宋体" w:cs="宋体"/>
              </w:rPr>
              <w:tab/>
            </w:r>
            <w:r>
              <w:rPr>
                <w:rFonts w:hint="eastAsia" w:ascii="宋体" w:hAnsi="宋体" w:cs="宋体"/>
              </w:rPr>
              <w:t>1000K-18000K可调</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温升</w:t>
            </w:r>
            <w:r>
              <w:rPr>
                <w:rFonts w:hint="eastAsia" w:ascii="宋体" w:hAnsi="宋体" w:cs="宋体"/>
              </w:rPr>
              <w:tab/>
            </w:r>
            <w:r>
              <w:rPr>
                <w:rFonts w:hint="eastAsia" w:ascii="宋体" w:hAnsi="宋体" w:cs="宋体"/>
              </w:rPr>
              <w:t>在环境温度为 45℃的条件下，将屏体调到最大亮度白色连续工作 8 小时，表面温升小于 20K</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水平视角</w:t>
            </w:r>
            <w:r>
              <w:rPr>
                <w:rFonts w:hint="eastAsia" w:ascii="宋体" w:hAnsi="宋体" w:cs="宋体"/>
              </w:rPr>
              <w:tab/>
            </w:r>
            <w:r>
              <w:rPr>
                <w:rFonts w:hint="eastAsia" w:ascii="宋体" w:hAnsi="宋体" w:cs="宋体"/>
              </w:rPr>
              <w:t>160°</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垂直视角</w:t>
            </w:r>
            <w:r>
              <w:rPr>
                <w:rFonts w:hint="eastAsia" w:ascii="宋体" w:hAnsi="宋体" w:cs="宋体"/>
              </w:rPr>
              <w:tab/>
            </w:r>
            <w:r>
              <w:rPr>
                <w:rFonts w:hint="eastAsia" w:ascii="宋体" w:hAnsi="宋体" w:cs="宋体"/>
              </w:rPr>
              <w:t>160°</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最高对比度</w:t>
            </w:r>
            <w:r>
              <w:rPr>
                <w:rFonts w:hint="eastAsia" w:ascii="宋体" w:hAnsi="宋体" w:cs="宋体"/>
              </w:rPr>
              <w:tab/>
            </w:r>
            <w:r>
              <w:rPr>
                <w:rFonts w:hint="eastAsia" w:ascii="宋体" w:hAnsi="宋体" w:cs="宋体"/>
              </w:rPr>
              <w:t>≥8000:1</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★亮度/色度校正</w:t>
            </w:r>
            <w:r>
              <w:rPr>
                <w:rFonts w:hint="eastAsia" w:ascii="宋体" w:hAnsi="宋体" w:cs="宋体"/>
              </w:rPr>
              <w:tab/>
            </w:r>
            <w:r>
              <w:rPr>
                <w:rFonts w:hint="eastAsia" w:ascii="宋体" w:hAnsi="宋体" w:cs="宋体"/>
              </w:rPr>
              <w:t>采用精确色彩管理系统，在 LED 控制系统对视频解码后，添加二次过滤显示算法，对显示屏每一个发二级管进行逐点 12 位颜色校正提供CMA、CNAS、CAL标志的国家级权威检测机构出具的检测报告复印件，并加盖投标人公章）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校正数据存储与回读</w:t>
            </w:r>
            <w:r>
              <w:rPr>
                <w:rFonts w:hint="eastAsia" w:ascii="宋体" w:hAnsi="宋体" w:cs="宋体"/>
              </w:rPr>
              <w:tab/>
            </w:r>
            <w:r>
              <w:rPr>
                <w:rFonts w:hint="eastAsia" w:ascii="宋体" w:hAnsi="宋体" w:cs="宋体"/>
              </w:rPr>
              <w:t>模组亮度色度逐点校正，校正数据可保存及回读</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发光点像素之间中心间距偏差</w:t>
            </w:r>
            <w:r>
              <w:rPr>
                <w:rFonts w:hint="eastAsia" w:ascii="宋体" w:hAnsi="宋体" w:cs="宋体"/>
              </w:rPr>
              <w:tab/>
            </w:r>
            <w:r>
              <w:rPr>
                <w:rFonts w:hint="eastAsia" w:ascii="宋体" w:hAnsi="宋体" w:cs="宋体"/>
              </w:rPr>
              <w:t>≤1.5%</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亮度均匀性</w:t>
            </w:r>
            <w:r>
              <w:rPr>
                <w:rFonts w:hint="eastAsia" w:ascii="宋体" w:hAnsi="宋体" w:cs="宋体"/>
              </w:rPr>
              <w:tab/>
            </w:r>
            <w:r>
              <w:rPr>
                <w:rFonts w:hint="eastAsia" w:ascii="宋体" w:hAnsi="宋体" w:cs="宋体"/>
              </w:rPr>
              <w:t>≥99%</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色度均匀度</w:t>
            </w:r>
            <w:r>
              <w:rPr>
                <w:rFonts w:hint="eastAsia" w:ascii="宋体" w:hAnsi="宋体" w:cs="宋体"/>
              </w:rPr>
              <w:tab/>
            </w:r>
            <w:r>
              <w:rPr>
                <w:rFonts w:hint="eastAsia" w:ascii="宋体" w:hAnsi="宋体" w:cs="宋体"/>
              </w:rPr>
              <w:t>±0.002Cx,Cy之内</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NTSC色域覆盖率</w:t>
            </w:r>
            <w:r>
              <w:rPr>
                <w:rFonts w:hint="eastAsia" w:ascii="宋体" w:hAnsi="宋体" w:cs="宋体"/>
              </w:rPr>
              <w:tab/>
            </w:r>
            <w:r>
              <w:rPr>
                <w:rFonts w:hint="eastAsia" w:ascii="宋体" w:hAnsi="宋体" w:cs="宋体"/>
              </w:rPr>
              <w:t>≥110%</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DCI-P3色域覆盖率</w:t>
            </w:r>
            <w:r>
              <w:rPr>
                <w:rFonts w:hint="eastAsia" w:ascii="宋体" w:hAnsi="宋体" w:cs="宋体"/>
              </w:rPr>
              <w:tab/>
            </w:r>
            <w:r>
              <w:rPr>
                <w:rFonts w:hint="eastAsia" w:ascii="宋体" w:hAnsi="宋体" w:cs="宋体"/>
              </w:rPr>
              <w:t>≥90%</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BT.2020色域覆盖率</w:t>
            </w:r>
            <w:r>
              <w:rPr>
                <w:rFonts w:hint="eastAsia" w:ascii="宋体" w:hAnsi="宋体" w:cs="宋体"/>
              </w:rPr>
              <w:tab/>
            </w:r>
            <w:r>
              <w:rPr>
                <w:rFonts w:hint="eastAsia" w:ascii="宋体" w:hAnsi="宋体" w:cs="宋体"/>
              </w:rPr>
              <w:t>≥80%</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BT.2020色域利用率</w:t>
            </w:r>
            <w:r>
              <w:rPr>
                <w:rFonts w:hint="eastAsia" w:ascii="宋体" w:hAnsi="宋体" w:cs="宋体"/>
              </w:rPr>
              <w:tab/>
            </w:r>
            <w:r>
              <w:rPr>
                <w:rFonts w:hint="eastAsia" w:ascii="宋体" w:hAnsi="宋体" w:cs="宋体"/>
              </w:rPr>
              <w:t>≥95%</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驱动方式</w:t>
            </w:r>
            <w:r>
              <w:rPr>
                <w:rFonts w:hint="eastAsia" w:ascii="宋体" w:hAnsi="宋体" w:cs="宋体"/>
              </w:rPr>
              <w:tab/>
            </w:r>
            <w:r>
              <w:rPr>
                <w:rFonts w:hint="eastAsia" w:ascii="宋体" w:hAnsi="宋体" w:cs="宋体"/>
              </w:rPr>
              <w:t>恒流驱动</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换帧频率</w:t>
            </w:r>
            <w:r>
              <w:rPr>
                <w:rFonts w:hint="eastAsia" w:ascii="宋体" w:hAnsi="宋体" w:cs="宋体"/>
              </w:rPr>
              <w:tab/>
            </w:r>
            <w:r>
              <w:rPr>
                <w:rFonts w:hint="eastAsia" w:ascii="宋体" w:hAnsi="宋体" w:cs="宋体"/>
              </w:rPr>
              <w:t>≥60Hz</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刷新频率</w:t>
            </w:r>
            <w:r>
              <w:rPr>
                <w:rFonts w:hint="eastAsia" w:ascii="宋体" w:hAnsi="宋体" w:cs="宋体"/>
              </w:rPr>
              <w:tab/>
            </w:r>
            <w:r>
              <w:rPr>
                <w:rFonts w:hint="eastAsia" w:ascii="宋体" w:hAnsi="宋体" w:cs="宋体"/>
              </w:rPr>
              <w:t>1920Hz/3840Hz</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灰度等级</w:t>
            </w:r>
            <w:r>
              <w:rPr>
                <w:rFonts w:hint="eastAsia" w:ascii="宋体" w:hAnsi="宋体" w:cs="宋体"/>
              </w:rPr>
              <w:tab/>
            </w:r>
            <w:r>
              <w:rPr>
                <w:rFonts w:hint="eastAsia" w:ascii="宋体" w:hAnsi="宋体" w:cs="宋体"/>
              </w:rPr>
              <w:t>16/22Bit</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★白平衡调节色温误差</w:t>
            </w:r>
            <w:r>
              <w:rPr>
                <w:rFonts w:hint="eastAsia" w:ascii="宋体" w:hAnsi="宋体" w:cs="宋体"/>
              </w:rPr>
              <w:tab/>
            </w:r>
            <w:r>
              <w:rPr>
                <w:rFonts w:hint="eastAsia" w:ascii="宋体" w:hAnsi="宋体" w:cs="宋体"/>
              </w:rPr>
              <w:t>支持软件实现不同亮度情况下，灰度 10-18bit 任意设置；当色温为 6500K 时，100%，75%，50%，25%四档电平白场调节色温误差≤120K（提供CMA、CNAS、CAL标志的国家级权威检测机构出具的检测报告复印件，并加盖投标人公章）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白平衡补偿</w:t>
            </w:r>
            <w:r>
              <w:rPr>
                <w:rFonts w:hint="eastAsia" w:ascii="宋体" w:hAnsi="宋体" w:cs="宋体"/>
              </w:rPr>
              <w:tab/>
            </w:r>
            <w:r>
              <w:rPr>
                <w:rFonts w:hint="eastAsia" w:ascii="宋体" w:hAnsi="宋体" w:cs="宋体"/>
              </w:rPr>
              <w:t>具有白平衡补偿和修正功能</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像素失控点≤1/100000，无连续失控点</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亮度调节范围</w:t>
            </w:r>
            <w:r>
              <w:rPr>
                <w:rFonts w:hint="eastAsia" w:ascii="宋体" w:hAnsi="宋体" w:cs="宋体"/>
              </w:rPr>
              <w:tab/>
            </w:r>
            <w:r>
              <w:rPr>
                <w:rFonts w:hint="eastAsia" w:ascii="宋体" w:hAnsi="宋体" w:cs="宋体"/>
              </w:rPr>
              <w:t>自动/手动；1-100%；亮度可随环境亮度的变化自动调节</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多层电路</w:t>
            </w:r>
            <w:r>
              <w:rPr>
                <w:rFonts w:hint="eastAsia" w:ascii="宋体" w:hAnsi="宋体" w:cs="宋体"/>
              </w:rPr>
              <w:tab/>
            </w:r>
            <w:r>
              <w:rPr>
                <w:rFonts w:hint="eastAsia" w:ascii="宋体" w:hAnsi="宋体" w:cs="宋体"/>
              </w:rPr>
              <w:t>多层电路板设计，具备独特的消隐、节能功能</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防护等级</w:t>
            </w:r>
            <w:r>
              <w:rPr>
                <w:rFonts w:hint="eastAsia" w:ascii="宋体" w:hAnsi="宋体" w:cs="宋体"/>
              </w:rPr>
              <w:tab/>
            </w:r>
            <w:r>
              <w:rPr>
                <w:rFonts w:hint="eastAsia" w:ascii="宋体" w:hAnsi="宋体" w:cs="宋体"/>
              </w:rPr>
              <w:t>IP66（正面）/IP43(背面）</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维护方式</w:t>
            </w:r>
            <w:r>
              <w:rPr>
                <w:rFonts w:hint="eastAsia" w:ascii="宋体" w:hAnsi="宋体" w:cs="宋体"/>
              </w:rPr>
              <w:tab/>
            </w:r>
            <w:r>
              <w:rPr>
                <w:rFonts w:hint="eastAsia" w:ascii="宋体" w:hAnsi="宋体" w:cs="宋体"/>
              </w:rPr>
              <w:t>支持前拆前维护和后拆后维护功能；支持用户级模组 前维护方式，可正面拆卸、安装；支持带电维护，热插拔，维护时间不超过 10 秒，支持单点维修更换</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★节能功能</w:t>
            </w:r>
            <w:r>
              <w:rPr>
                <w:rFonts w:hint="eastAsia" w:ascii="宋体" w:hAnsi="宋体" w:cs="宋体"/>
              </w:rPr>
              <w:tab/>
            </w:r>
            <w:r>
              <w:rPr>
                <w:rFonts w:hint="eastAsia" w:ascii="宋体" w:hAnsi="宋体" w:cs="宋体"/>
              </w:rPr>
              <w:t>具备点检（开路检测）、智能节电功能，开启智能节电功能比没有开启节能 40％以上</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模组工作电压</w:t>
            </w:r>
            <w:r>
              <w:rPr>
                <w:rFonts w:hint="eastAsia" w:ascii="宋体" w:hAnsi="宋体" w:cs="宋体"/>
              </w:rPr>
              <w:tab/>
            </w:r>
            <w:r>
              <w:rPr>
                <w:rFonts w:hint="eastAsia" w:ascii="宋体" w:hAnsi="宋体" w:cs="宋体"/>
              </w:rPr>
              <w:t>＜5V</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峰值功耗</w:t>
            </w:r>
            <w:r>
              <w:rPr>
                <w:rFonts w:hint="eastAsia" w:ascii="宋体" w:hAnsi="宋体" w:cs="宋体"/>
              </w:rPr>
              <w:tab/>
            </w:r>
            <w:r>
              <w:rPr>
                <w:rFonts w:hint="eastAsia" w:ascii="宋体" w:hAnsi="宋体" w:cs="宋体"/>
              </w:rPr>
              <w:t>≤460W/㎡</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平均功耗</w:t>
            </w:r>
            <w:r>
              <w:rPr>
                <w:rFonts w:hint="eastAsia" w:ascii="宋体" w:hAnsi="宋体" w:cs="宋体"/>
              </w:rPr>
              <w:tab/>
            </w:r>
            <w:r>
              <w:rPr>
                <w:rFonts w:hint="eastAsia" w:ascii="宋体" w:hAnsi="宋体" w:cs="宋体"/>
              </w:rPr>
              <w:t>≤150W/㎡</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黑屏功耗</w:t>
            </w:r>
            <w:r>
              <w:rPr>
                <w:rFonts w:hint="eastAsia" w:ascii="宋体" w:hAnsi="宋体" w:cs="宋体"/>
              </w:rPr>
              <w:tab/>
            </w:r>
            <w:r>
              <w:rPr>
                <w:rFonts w:hint="eastAsia" w:ascii="宋体" w:hAnsi="宋体" w:cs="宋体"/>
              </w:rPr>
              <w:t>≤25W/㎡</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LED使用寿命</w:t>
            </w:r>
            <w:r>
              <w:rPr>
                <w:rFonts w:hint="eastAsia" w:ascii="宋体" w:hAnsi="宋体" w:cs="宋体"/>
              </w:rPr>
              <w:tab/>
            </w:r>
            <w:r>
              <w:rPr>
                <w:rFonts w:hint="eastAsia" w:ascii="宋体" w:hAnsi="宋体" w:cs="宋体"/>
              </w:rPr>
              <w:t>≥100000H</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LED灯珠衰减率</w:t>
            </w:r>
            <w:r>
              <w:rPr>
                <w:rFonts w:hint="eastAsia" w:ascii="宋体" w:hAnsi="宋体" w:cs="宋体"/>
              </w:rPr>
              <w:tab/>
            </w:r>
            <w:r>
              <w:rPr>
                <w:rFonts w:hint="eastAsia" w:ascii="宋体" w:hAnsi="宋体" w:cs="宋体"/>
              </w:rPr>
              <w:t>6000小时光通维持率L70（6000h）＞91.8%</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亮度与视角关系</w:t>
            </w:r>
            <w:r>
              <w:rPr>
                <w:rFonts w:hint="eastAsia" w:ascii="宋体" w:hAnsi="宋体" w:cs="宋体"/>
              </w:rPr>
              <w:tab/>
            </w:r>
            <w:r>
              <w:rPr>
                <w:rFonts w:hint="eastAsia" w:ascii="宋体" w:hAnsi="宋体" w:cs="宋体"/>
              </w:rPr>
              <w:t>中央亮度为 100cd/㎡白场时，水平视角 80°时亮度衰减率≤10%，垂直视角 60°时亮度衰减率≤10%</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★反光率</w:t>
            </w:r>
            <w:r>
              <w:rPr>
                <w:rFonts w:hint="eastAsia" w:ascii="宋体" w:hAnsi="宋体" w:cs="宋体"/>
              </w:rPr>
              <w:tab/>
            </w:r>
            <w:r>
              <w:rPr>
                <w:rFonts w:hint="eastAsia" w:ascii="宋体" w:hAnsi="宋体" w:cs="宋体"/>
              </w:rPr>
              <w:t>屏体正面为哑黑处理，反光率小于等于 2%（提供CMA、CNAS、CAL标志的国家级权威检测机构出具的检测报告复印件，并加盖投标人公章）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★防蓝光</w:t>
            </w:r>
            <w:r>
              <w:rPr>
                <w:rFonts w:hint="eastAsia" w:ascii="宋体" w:hAnsi="宋体" w:cs="宋体"/>
              </w:rPr>
              <w:tab/>
            </w:r>
            <w:r>
              <w:rPr>
                <w:rFonts w:hint="eastAsia" w:ascii="宋体" w:hAnsi="宋体" w:cs="宋体"/>
              </w:rPr>
              <w:t>具备防蓝光护眼功能，蓝光辐射能量≤20%（提供CMA、CNAS、CAL标志的国家级权威检测机构出具的检测报告复印件，并加盖投标人公章）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电流增益调节级别</w:t>
            </w:r>
            <w:r>
              <w:rPr>
                <w:rFonts w:hint="eastAsia" w:ascii="宋体" w:hAnsi="宋体" w:cs="宋体"/>
              </w:rPr>
              <w:tab/>
            </w:r>
            <w:r>
              <w:rPr>
                <w:rFonts w:hint="eastAsia" w:ascii="宋体" w:hAnsi="宋体" w:cs="宋体"/>
              </w:rPr>
              <w:t>≥8位</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★低灰效果</w:t>
            </w:r>
            <w:r>
              <w:rPr>
                <w:rFonts w:hint="eastAsia" w:ascii="宋体" w:hAnsi="宋体" w:cs="宋体"/>
              </w:rPr>
              <w:tab/>
            </w:r>
            <w:r>
              <w:rPr>
                <w:rFonts w:hint="eastAsia" w:ascii="宋体" w:hAnsi="宋体" w:cs="宋体"/>
              </w:rPr>
              <w:t>灰度过渡平滑，在低灰情况下，不出现马赛克现象，避免图像细节损失（提供CMA、CNAS、CAL标志的国家级权威检测机构出具的检测报告复印件，并加盖投标人公章）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★图像调整功能</w:t>
            </w:r>
            <w:r>
              <w:rPr>
                <w:rFonts w:hint="eastAsia" w:ascii="宋体" w:hAnsi="宋体" w:cs="宋体"/>
              </w:rPr>
              <w:tab/>
            </w:r>
            <w:r>
              <w:rPr>
                <w:rFonts w:hint="eastAsia" w:ascii="宋体" w:hAnsi="宋体" w:cs="宋体"/>
              </w:rPr>
              <w:t>具有亮度/对比度/色度调节/视觉修正等图像调整功能（提供CMA、CNAS、CAL标志的国家级权威检测机构出具的检测报告复印件，并加盖投标人公章）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图形处理功能</w:t>
            </w:r>
            <w:r>
              <w:rPr>
                <w:rFonts w:hint="eastAsia" w:ascii="宋体" w:hAnsi="宋体" w:cs="宋体"/>
              </w:rPr>
              <w:tab/>
            </w:r>
            <w:r>
              <w:rPr>
                <w:rFonts w:hint="eastAsia" w:ascii="宋体" w:hAnsi="宋体" w:cs="宋体"/>
              </w:rPr>
              <w:t>具有视频降噪、运动补偿、色彩变换等图像处理功能；</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★蓝光危害检测</w:t>
            </w:r>
            <w:r>
              <w:rPr>
                <w:rFonts w:hint="eastAsia" w:ascii="宋体" w:hAnsi="宋体" w:cs="宋体"/>
              </w:rPr>
              <w:tab/>
            </w:r>
            <w:r>
              <w:rPr>
                <w:rFonts w:hint="eastAsia" w:ascii="宋体" w:hAnsi="宋体" w:cs="宋体"/>
              </w:rPr>
              <w:t>产品通过GB/T 20145-2006 蓝光危害评估，显示屏对视网膜蓝光危害限值＜2W▪m-2▪sr-1（提供CMA、CNAS、CAL标志的国家级权威检测机构出具的检测报告复印件，并加盖投标人公章）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★电源功率因数</w:t>
            </w:r>
            <w:r>
              <w:rPr>
                <w:rFonts w:hint="eastAsia" w:ascii="宋体" w:hAnsi="宋体" w:cs="宋体"/>
              </w:rPr>
              <w:tab/>
            </w:r>
            <w:r>
              <w:rPr>
                <w:rFonts w:hint="eastAsia" w:ascii="宋体" w:hAnsi="宋体" w:cs="宋体"/>
              </w:rPr>
              <w:t>≥0.96（提供CMA、CNAS、CAL标志的国家级权威检测机构出具的检测报告复印件，并加盖投标人公章）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泄露电流</w:t>
            </w:r>
            <w:r>
              <w:rPr>
                <w:rFonts w:hint="eastAsia" w:ascii="宋体" w:hAnsi="宋体" w:cs="宋体"/>
              </w:rPr>
              <w:tab/>
            </w:r>
            <w:r>
              <w:rPr>
                <w:rFonts w:hint="eastAsia" w:ascii="宋体" w:hAnsi="宋体" w:cs="宋体"/>
              </w:rPr>
              <w:t>泄露电流不大于 2mA</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除湿模式</w:t>
            </w:r>
            <w:r>
              <w:rPr>
                <w:rFonts w:hint="eastAsia" w:ascii="宋体" w:hAnsi="宋体" w:cs="宋体"/>
              </w:rPr>
              <w:tab/>
            </w:r>
            <w:r>
              <w:rPr>
                <w:rFonts w:hint="eastAsia" w:ascii="宋体" w:hAnsi="宋体" w:cs="宋体"/>
              </w:rPr>
              <w:t>超过一周时间没有使用屏体，屏体自动切入除湿模式，使屏体从 10%到100%亮度逐步显示</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★电源双备份</w:t>
            </w:r>
            <w:r>
              <w:rPr>
                <w:rFonts w:hint="eastAsia" w:ascii="宋体" w:hAnsi="宋体" w:cs="宋体"/>
              </w:rPr>
              <w:tab/>
            </w:r>
            <w:r>
              <w:rPr>
                <w:rFonts w:hint="eastAsia" w:ascii="宋体" w:hAnsi="宋体" w:cs="宋体"/>
              </w:rPr>
              <w:t>电源N+1冗余备份、支持双电源供电当其中一路电源出现故障、跳闸。备用电源继续供电实现不间断供电功能（提供CMA、CNAS、CAL标志的国家级权威检测机构出具的检测报告复印件，并加盖投标人公章）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★系统双备份</w:t>
            </w:r>
            <w:r>
              <w:rPr>
                <w:rFonts w:hint="eastAsia" w:ascii="宋体" w:hAnsi="宋体" w:cs="宋体"/>
              </w:rPr>
              <w:tab/>
            </w:r>
            <w:r>
              <w:rPr>
                <w:rFonts w:hint="eastAsia" w:ascii="宋体" w:hAnsi="宋体" w:cs="宋体"/>
              </w:rPr>
              <w:t>支持控制系统双备份功能（提供CMA、CNAS、CAL标志的国家级权威检测机构出具的检测报告复印件，并加盖投标人公章）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恒定温热测试</w:t>
            </w:r>
            <w:r>
              <w:rPr>
                <w:rFonts w:hint="eastAsia" w:ascii="宋体" w:hAnsi="宋体" w:cs="宋体"/>
              </w:rPr>
              <w:tab/>
            </w:r>
            <w:r>
              <w:rPr>
                <w:rFonts w:hint="eastAsia" w:ascii="宋体" w:hAnsi="宋体" w:cs="宋体"/>
              </w:rPr>
              <w:t>工作温度范围覆盖-30℃~65℃，贮存温度范围覆盖-35℃~75℃；恒定湿热：工作湿度不小于85％RH，贮存湿度不小于90％RH</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电源温度控制</w:t>
            </w:r>
            <w:r>
              <w:rPr>
                <w:rFonts w:hint="eastAsia" w:ascii="宋体" w:hAnsi="宋体" w:cs="宋体"/>
              </w:rPr>
              <w:tab/>
            </w:r>
            <w:r>
              <w:rPr>
                <w:rFonts w:hint="eastAsia" w:ascii="宋体" w:hAnsi="宋体" w:cs="宋体"/>
              </w:rPr>
              <w:t>LED显示屏控制软件电源实时温度控制，超出设定温度自动报警，防止过温。</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自动 GAMMA 校正技术</w:t>
            </w:r>
            <w:r>
              <w:rPr>
                <w:rFonts w:hint="eastAsia" w:ascii="宋体" w:hAnsi="宋体" w:cs="宋体"/>
              </w:rPr>
              <w:tab/>
            </w:r>
            <w:r>
              <w:rPr>
                <w:rFonts w:hint="eastAsia" w:ascii="宋体" w:hAnsi="宋体" w:cs="宋体"/>
              </w:rPr>
              <w:t>"自动 GAMMA 校正技术，通过构造非线性校正曲线和色坐标变换系数矩阵实现了显示效果的不断改善，各项重要指标如色彩还原性、色温调节范围、亮度均匀性、色</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度均匀性、刷新率、换帧频率等，均符合广电级标准"</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检测功能</w:t>
            </w:r>
            <w:r>
              <w:rPr>
                <w:rFonts w:hint="eastAsia" w:ascii="宋体" w:hAnsi="宋体" w:cs="宋体"/>
              </w:rPr>
              <w:tab/>
            </w:r>
            <w:r>
              <w:rPr>
                <w:rFonts w:hint="eastAsia" w:ascii="宋体" w:hAnsi="宋体" w:cs="宋体"/>
              </w:rPr>
              <w:t>支持LED单点检测，工作累计时间，温度检测，电源检测</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多点测温系统</w:t>
            </w:r>
            <w:r>
              <w:rPr>
                <w:rFonts w:hint="eastAsia" w:ascii="宋体" w:hAnsi="宋体" w:cs="宋体"/>
              </w:rPr>
              <w:tab/>
            </w:r>
            <w:r>
              <w:rPr>
                <w:rFonts w:hint="eastAsia" w:ascii="宋体" w:hAnsi="宋体" w:cs="宋体"/>
              </w:rPr>
              <w:t>LED显示屏控制软件具有多点测温系统，均衡散热，防止局部温度过高造成色彩混乱、分离、提高屏体寿命</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实时监控功能</w:t>
            </w:r>
            <w:r>
              <w:rPr>
                <w:rFonts w:hint="eastAsia" w:ascii="宋体" w:hAnsi="宋体" w:cs="宋体"/>
              </w:rPr>
              <w:tab/>
            </w:r>
            <w:r>
              <w:rPr>
                <w:rFonts w:hint="eastAsia" w:ascii="宋体" w:hAnsi="宋体" w:cs="宋体"/>
              </w:rPr>
              <w:t>可实现远程监督控制，对可能发生的潜在故障记录日志，并向操作员发出警报信号</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平均无故障时间</w:t>
            </w:r>
            <w:r>
              <w:rPr>
                <w:rFonts w:hint="eastAsia" w:ascii="宋体" w:hAnsi="宋体" w:cs="宋体"/>
              </w:rPr>
              <w:tab/>
            </w:r>
            <w:r>
              <w:rPr>
                <w:rFonts w:hint="eastAsia" w:ascii="宋体" w:hAnsi="宋体" w:cs="宋体"/>
              </w:rPr>
              <w:t>平均无故障时间不低于 120000 小时（提供CMA、CNAS、CAL标志的国家级权威检测机构出具的检测报告复印件，并加盖投标人公章）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平均修复时间</w:t>
            </w:r>
            <w:r>
              <w:rPr>
                <w:rFonts w:hint="eastAsia" w:ascii="宋体" w:hAnsi="宋体" w:cs="宋体"/>
              </w:rPr>
              <w:tab/>
            </w:r>
            <w:r>
              <w:rPr>
                <w:rFonts w:hint="eastAsia" w:ascii="宋体" w:hAnsi="宋体" w:cs="宋体"/>
              </w:rPr>
              <w:t>单元部件均可在2分钟内完成替换维修</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★抗震试验</w:t>
            </w:r>
            <w:r>
              <w:rPr>
                <w:rFonts w:hint="eastAsia" w:ascii="宋体" w:hAnsi="宋体" w:cs="宋体"/>
              </w:rPr>
              <w:tab/>
            </w:r>
            <w:r>
              <w:rPr>
                <w:rFonts w:hint="eastAsia" w:ascii="宋体" w:hAnsi="宋体" w:cs="宋体"/>
              </w:rPr>
              <w:t>垂直振动频率范围5-10-5Hz，加速度峰值0.25g，速率1倍频程/60S,检测时间180S无损坏；水平振动频率范围5-10-5Hz，加速度峰值0.1g，加速率1倍频程/60S，检测时间900S无损坏（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★盐雾试验 10 级</w:t>
            </w:r>
            <w:r>
              <w:rPr>
                <w:rFonts w:hint="eastAsia" w:ascii="宋体" w:hAnsi="宋体" w:cs="宋体"/>
              </w:rPr>
              <w:tab/>
            </w:r>
            <w:r>
              <w:rPr>
                <w:rFonts w:hint="eastAsia" w:ascii="宋体" w:hAnsi="宋体" w:cs="宋体"/>
              </w:rPr>
              <w:t>按GB/T10125-2012标准的相关规定进行试验，在盐溶液PH值7±0.5，浓度5%NaCL、温度35±1度的条件下，连续进行72h喷雾，试验结束后显示屏表面无锈蚀，性能完好，正常工作。外观等级：A级；盐雾等级：10级（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★抗电强度实验</w:t>
            </w:r>
            <w:r>
              <w:rPr>
                <w:rFonts w:hint="eastAsia" w:ascii="宋体" w:hAnsi="宋体" w:cs="宋体"/>
              </w:rPr>
              <w:tab/>
            </w:r>
            <w:r>
              <w:rPr>
                <w:rFonts w:hint="eastAsia" w:ascii="宋体" w:hAnsi="宋体" w:cs="宋体"/>
              </w:rPr>
              <w:t>电源插头或电源引入端子与外壳裸露金属部件之间能承受1.5KV交流电压，历时1min抗强度试验无击穿和飞狐现象。（提供CMA、CNAS、CAL标志的国家级权威检测机构出具的检测报告复印件，并加盖投标人公章）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★绝缘电阻试验</w:t>
            </w:r>
            <w:r>
              <w:rPr>
                <w:rFonts w:hint="eastAsia" w:ascii="宋体" w:hAnsi="宋体" w:cs="宋体"/>
              </w:rPr>
              <w:tab/>
            </w:r>
            <w:r>
              <w:rPr>
                <w:rFonts w:hint="eastAsia" w:ascii="宋体" w:hAnsi="宋体" w:cs="宋体"/>
              </w:rPr>
              <w:t>电源插头或电源引入端子与外壳裸漏金属部件之间的绝缘电阻在正常大气条件下应≥400MΩ,湿热条件下应≥8MΩ；模组表面绝缘电阻≥5000 兆欧（提供CMA、CNAS、CAL标志的国家级权威检测机构出具的检测报告复印件，并加盖投标人公章）</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像素失控率等级</w:t>
            </w:r>
            <w:r>
              <w:rPr>
                <w:rFonts w:hint="eastAsia" w:ascii="宋体" w:hAnsi="宋体" w:cs="宋体"/>
              </w:rPr>
              <w:tab/>
            </w:r>
            <w:r>
              <w:rPr>
                <w:rFonts w:hint="eastAsia" w:ascii="宋体" w:hAnsi="宋体" w:cs="宋体"/>
              </w:rPr>
              <w:t>整屏像素失控率符合SJ/T 11141-2017标准 C级；整屏像素失控率Pz≤1×10-4；区域像素失控率PQ≤3×10-4；</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阻燃等级</w:t>
            </w:r>
            <w:r>
              <w:rPr>
                <w:rFonts w:hint="eastAsia" w:ascii="宋体" w:hAnsi="宋体" w:cs="宋体"/>
              </w:rPr>
              <w:tab/>
            </w:r>
            <w:r>
              <w:rPr>
                <w:rFonts w:hint="eastAsia" w:ascii="宋体" w:hAnsi="宋体" w:cs="宋体"/>
              </w:rPr>
              <w:t>按 GB/T5169.16-2008 对样品进行防火测试，产品 整机外壳阻燃防护等级达到 V-0 级；产品选用的 PCB 阻燃防护等级达到 V-0 级：产品选用的面罩阻燃防护等级满足 HB 阻燃等级要求</w:t>
            </w:r>
          </w:p>
          <w:p>
            <w:pPr>
              <w:pStyle w:val="19"/>
              <w:numPr>
                <w:ilvl w:val="0"/>
                <w:numId w:val="1"/>
              </w:numPr>
              <w:spacing w:after="200" w:line="360" w:lineRule="exact"/>
              <w:ind w:firstLineChars="0"/>
              <w:contextualSpacing/>
              <w:jc w:val="both"/>
              <w:rPr>
                <w:rFonts w:ascii="宋体" w:hAnsi="宋体" w:cs="宋体"/>
              </w:rPr>
            </w:pPr>
            <w:r>
              <w:rPr>
                <w:rFonts w:hint="eastAsia" w:ascii="宋体" w:hAnsi="宋体" w:cs="宋体"/>
              </w:rPr>
              <w:t>保护措施</w:t>
            </w:r>
            <w:r>
              <w:rPr>
                <w:rFonts w:hint="eastAsia" w:ascii="宋体" w:hAnsi="宋体" w:cs="宋体"/>
              </w:rPr>
              <w:tab/>
            </w:r>
            <w:r>
              <w:rPr>
                <w:rFonts w:hint="eastAsia" w:ascii="宋体" w:hAnsi="宋体" w:cs="宋体"/>
              </w:rPr>
              <w:t>防潮、防尘、防高温、防腐蚀、防燃烧、防静电、防 电磁干扰、抗震动等功能；阻燃系统具有烟雾报警和温升报警功能；具有动态扫描方式 LED 显示屏驱动电路保护功能</w:t>
            </w:r>
          </w:p>
          <w:p>
            <w:pPr>
              <w:rPr>
                <w:rFonts w:asciiTheme="minorEastAsia" w:hAnsiTheme="minorEastAsia" w:eastAsiaTheme="minorEastAsia"/>
                <w:sz w:val="22"/>
                <w:szCs w:val="22"/>
              </w:rPr>
            </w:pPr>
            <w:r>
              <w:rPr>
                <w:rFonts w:hint="eastAsia" w:ascii="宋体" w:hAnsi="宋体" w:cs="宋体"/>
              </w:rPr>
              <w:t>所投LED显示屏产品必须通过3C强制认证</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1.98</w:t>
            </w:r>
            <w:r>
              <w:rPr>
                <w:rFonts w:hint="eastAsia" w:ascii="宋体" w:hAnsi="宋体" w:cs="宋体"/>
              </w:rPr>
              <w:t xml:space="preserve"> m2</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pStyle w:val="6"/>
              <w:widowControl w:val="0"/>
              <w:jc w:val="center"/>
              <w:rPr>
                <w:rStyle w:val="10"/>
                <w:rFonts w:ascii="华文楷体" w:hAnsi="华文楷体" w:eastAsia="华文楷体"/>
                <w:b w:val="0"/>
                <w:bCs w:val="0"/>
                <w:sz w:val="21"/>
                <w:szCs w:val="21"/>
              </w:rPr>
            </w:pPr>
            <w:r>
              <w:rPr>
                <w:rStyle w:val="10"/>
                <w:rFonts w:hint="eastAsia" w:ascii="华文楷体" w:hAnsi="华文楷体" w:eastAsia="华文楷体"/>
                <w:b w:val="0"/>
                <w:bCs w:val="0"/>
                <w:sz w:val="21"/>
                <w:szCs w:val="21"/>
              </w:rPr>
              <w:t>2</w:t>
            </w:r>
          </w:p>
        </w:tc>
        <w:tc>
          <w:tcPr>
            <w:tcW w:w="846" w:type="dxa"/>
            <w:vAlign w:val="center"/>
          </w:tcPr>
          <w:p>
            <w:pPr>
              <w:rPr>
                <w:rFonts w:ascii="华文楷体" w:hAnsi="华文楷体" w:eastAsia="华文楷体"/>
                <w:sz w:val="21"/>
                <w:szCs w:val="21"/>
              </w:rPr>
            </w:pPr>
            <w:r>
              <w:rPr>
                <w:rFonts w:hint="eastAsia" w:ascii="宋体" w:hAnsi="宋体" w:cs="宋体"/>
                <w:color w:val="000000"/>
              </w:rPr>
              <w:t>显示屏接收系统</w:t>
            </w:r>
          </w:p>
        </w:tc>
        <w:tc>
          <w:tcPr>
            <w:tcW w:w="3969" w:type="dxa"/>
            <w:vAlign w:val="center"/>
          </w:tcPr>
          <w:p>
            <w:pPr>
              <w:rPr>
                <w:rFonts w:ascii="宋体" w:hAnsi="宋体" w:cs="宋体"/>
              </w:rPr>
            </w:pPr>
            <w:r>
              <w:rPr>
                <w:rFonts w:hint="eastAsia" w:ascii="宋体" w:hAnsi="宋体" w:cs="宋体"/>
              </w:rPr>
              <w:t>1、集成HUB75，无需再配转接板，更方便，成本更低；</w:t>
            </w:r>
          </w:p>
          <w:p>
            <w:pPr>
              <w:rPr>
                <w:rFonts w:ascii="宋体" w:hAnsi="宋体" w:cs="宋体"/>
              </w:rPr>
            </w:pPr>
            <w:r>
              <w:rPr>
                <w:rFonts w:hint="eastAsia" w:ascii="宋体" w:hAnsi="宋体" w:cs="宋体"/>
              </w:rPr>
              <w:t>2、减少接插连接件，减少故障点，故障率更低；</w:t>
            </w:r>
          </w:p>
          <w:p>
            <w:pPr>
              <w:rPr>
                <w:rFonts w:ascii="宋体" w:hAnsi="宋体" w:cs="宋体"/>
              </w:rPr>
            </w:pPr>
            <w:r>
              <w:rPr>
                <w:rFonts w:hint="eastAsia" w:ascii="宋体" w:hAnsi="宋体" w:cs="宋体"/>
              </w:rPr>
              <w:t>3、支持常规芯片实现高刷新、高灰度、高亮度；</w:t>
            </w:r>
          </w:p>
          <w:p>
            <w:pPr>
              <w:rPr>
                <w:rFonts w:ascii="宋体" w:hAnsi="宋体" w:cs="宋体"/>
              </w:rPr>
            </w:pPr>
            <w:r>
              <w:rPr>
                <w:rFonts w:hint="eastAsia" w:ascii="宋体" w:hAnsi="宋体" w:cs="宋体"/>
              </w:rPr>
              <w:t>4、全新灰度引擎，低灰度表现更佳；</w:t>
            </w:r>
          </w:p>
          <w:p>
            <w:pPr>
              <w:rPr>
                <w:rFonts w:ascii="宋体" w:hAnsi="宋体" w:cs="宋体"/>
              </w:rPr>
            </w:pPr>
            <w:r>
              <w:rPr>
                <w:rFonts w:hint="eastAsia" w:ascii="宋体" w:hAnsi="宋体" w:cs="宋体"/>
              </w:rPr>
              <w:t>5、细节处理更完美，可消除单元板设计引起的某行偏暗、低灰偏红、鬼影等细节问题；</w:t>
            </w:r>
          </w:p>
          <w:p>
            <w:pPr>
              <w:rPr>
                <w:rFonts w:ascii="宋体" w:hAnsi="宋体" w:cs="宋体"/>
              </w:rPr>
            </w:pPr>
            <w:r>
              <w:rPr>
                <w:rFonts w:hint="eastAsia" w:ascii="宋体" w:hAnsi="宋体" w:cs="宋体"/>
              </w:rPr>
              <w:t>6、支持14bit精度逐点校正；</w:t>
            </w:r>
          </w:p>
          <w:p>
            <w:pPr>
              <w:rPr>
                <w:rFonts w:ascii="宋体" w:hAnsi="宋体" w:cs="宋体"/>
              </w:rPr>
            </w:pPr>
            <w:r>
              <w:rPr>
                <w:rFonts w:hint="eastAsia" w:ascii="宋体" w:hAnsi="宋体" w:cs="宋体"/>
              </w:rPr>
              <w:t>7、支持所有常规芯片、PWM芯片和灯饰芯片；</w:t>
            </w:r>
          </w:p>
          <w:p>
            <w:pPr>
              <w:rPr>
                <w:rFonts w:ascii="宋体" w:hAnsi="宋体" w:cs="宋体"/>
              </w:rPr>
            </w:pPr>
            <w:r>
              <w:rPr>
                <w:rFonts w:hint="eastAsia" w:ascii="宋体" w:hAnsi="宋体" w:cs="宋体"/>
              </w:rPr>
              <w:t>8、0支持静态屏、1/2~1/32扫之间的任意扫描类型；</w:t>
            </w:r>
          </w:p>
          <w:p>
            <w:pPr>
              <w:rPr>
                <w:rFonts w:ascii="宋体" w:hAnsi="宋体" w:cs="宋体"/>
              </w:rPr>
            </w:pPr>
            <w:r>
              <w:rPr>
                <w:rFonts w:hint="eastAsia" w:ascii="宋体" w:hAnsi="宋体" w:cs="宋体"/>
              </w:rPr>
              <w:t>9、支持任意抽点，支持数据偏移，可轻松实现各种异型屏、球形屏、创意显示屏；</w:t>
            </w:r>
          </w:p>
          <w:p>
            <w:pPr>
              <w:rPr>
                <w:rFonts w:ascii="宋体" w:hAnsi="宋体" w:cs="宋体"/>
              </w:rPr>
            </w:pPr>
            <w:r>
              <w:rPr>
                <w:rFonts w:hint="eastAsia" w:ascii="宋体" w:hAnsi="宋体" w:cs="宋体"/>
              </w:rPr>
              <w:t>10、单卡支持32组RGB信号输出；</w:t>
            </w:r>
          </w:p>
          <w:p>
            <w:pPr>
              <w:rPr>
                <w:rFonts w:ascii="宋体" w:hAnsi="宋体" w:cs="宋体"/>
              </w:rPr>
            </w:pPr>
            <w:r>
              <w:rPr>
                <w:rFonts w:hint="eastAsia" w:ascii="宋体" w:hAnsi="宋体" w:cs="宋体"/>
              </w:rPr>
              <w:t>11、支持超大带载面积；</w:t>
            </w:r>
          </w:p>
          <w:p>
            <w:pPr>
              <w:rPr>
                <w:rFonts w:ascii="宋体" w:hAnsi="宋体" w:cs="宋体"/>
              </w:rPr>
            </w:pPr>
            <w:r>
              <w:rPr>
                <w:rFonts w:hint="eastAsia" w:ascii="宋体" w:hAnsi="宋体" w:cs="宋体"/>
              </w:rPr>
              <w:t>12、先进设计，优质元器件，全自动高低温老化测试，零故障出厂；</w:t>
            </w:r>
          </w:p>
          <w:p>
            <w:pPr>
              <w:rPr>
                <w:rFonts w:ascii="宋体" w:hAnsi="宋体" w:cs="宋体"/>
              </w:rPr>
            </w:pPr>
            <w:r>
              <w:rPr>
                <w:rFonts w:hint="eastAsia" w:ascii="宋体" w:hAnsi="宋体" w:cs="宋体"/>
              </w:rPr>
              <w:t>13、支持DC 3.3V~6V超宽工作电压，有效减弱电压波动带来的影响；</w:t>
            </w:r>
          </w:p>
          <w:p>
            <w:pPr>
              <w:rPr>
                <w:rFonts w:ascii="宋体" w:hAnsi="宋体" w:cs="宋体"/>
              </w:rPr>
            </w:pPr>
            <w:r>
              <w:rPr>
                <w:rFonts w:hint="eastAsia" w:ascii="宋体" w:hAnsi="宋体" w:cs="宋体"/>
              </w:rPr>
              <w:t>14、支持电源反接保护电路；</w:t>
            </w:r>
          </w:p>
          <w:p>
            <w:pPr>
              <w:rPr>
                <w:rFonts w:ascii="华文楷体" w:hAnsi="华文楷体" w:eastAsia="华文楷体"/>
                <w:sz w:val="21"/>
                <w:szCs w:val="21"/>
              </w:rPr>
            </w:pPr>
            <w:r>
              <w:rPr>
                <w:rFonts w:hint="eastAsia" w:ascii="宋体" w:hAnsi="宋体" w:cs="宋体"/>
                <w:color w:val="202020"/>
              </w:rPr>
              <w:t>15、刷新频率支持480HZ-3840HZ之间</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rPr>
                <w:rFonts w:ascii="华文楷体" w:hAnsi="华文楷体" w:eastAsia="华文楷体"/>
                <w:sz w:val="21"/>
                <w:szCs w:val="21"/>
              </w:rPr>
            </w:pPr>
            <w:r>
              <w:rPr>
                <w:rFonts w:hint="eastAsia" w:ascii="华文楷体" w:hAnsi="华文楷体" w:eastAsia="华文楷体"/>
                <w:sz w:val="21"/>
                <w:szCs w:val="21"/>
              </w:rPr>
              <w:t>1批</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pStyle w:val="6"/>
              <w:widowControl w:val="0"/>
              <w:jc w:val="center"/>
              <w:rPr>
                <w:rStyle w:val="10"/>
                <w:rFonts w:ascii="华文楷体" w:hAnsi="华文楷体" w:eastAsia="华文楷体"/>
                <w:b w:val="0"/>
                <w:bCs w:val="0"/>
                <w:sz w:val="21"/>
                <w:szCs w:val="21"/>
              </w:rPr>
            </w:pPr>
            <w:r>
              <w:rPr>
                <w:rStyle w:val="10"/>
                <w:rFonts w:hint="eastAsia" w:ascii="华文楷体" w:hAnsi="华文楷体" w:eastAsia="华文楷体"/>
                <w:b w:val="0"/>
                <w:bCs w:val="0"/>
                <w:sz w:val="21"/>
                <w:szCs w:val="21"/>
              </w:rPr>
              <w:t>3</w:t>
            </w:r>
          </w:p>
        </w:tc>
        <w:tc>
          <w:tcPr>
            <w:tcW w:w="846" w:type="dxa"/>
            <w:vAlign w:val="center"/>
          </w:tcPr>
          <w:p>
            <w:pPr>
              <w:rPr>
                <w:rFonts w:ascii="华文楷体" w:hAnsi="华文楷体" w:eastAsia="华文楷体"/>
                <w:sz w:val="21"/>
                <w:szCs w:val="21"/>
              </w:rPr>
            </w:pPr>
            <w:r>
              <w:rPr>
                <w:rFonts w:hint="eastAsia" w:ascii="宋体" w:hAnsi="宋体" w:cs="宋体"/>
              </w:rPr>
              <w:t>★</w:t>
            </w:r>
            <w:r>
              <w:rPr>
                <w:rFonts w:hint="eastAsia" w:ascii="宋体" w:hAnsi="宋体" w:cs="宋体"/>
                <w:color w:val="000000"/>
              </w:rPr>
              <w:t>视频控制器</w:t>
            </w:r>
          </w:p>
        </w:tc>
        <w:tc>
          <w:tcPr>
            <w:tcW w:w="3969" w:type="dxa"/>
            <w:vAlign w:val="center"/>
          </w:tcPr>
          <w:p>
            <w:pPr>
              <w:numPr>
                <w:ilvl w:val="0"/>
                <w:numId w:val="2"/>
              </w:numPr>
              <w:rPr>
                <w:rFonts w:ascii="宋体" w:hAnsi="宋体" w:cs="宋体"/>
                <w:color w:val="202020"/>
              </w:rPr>
            </w:pPr>
            <w:r>
              <w:rPr>
                <w:rFonts w:hint="eastAsia" w:ascii="宋体" w:hAnsi="宋体" w:cs="宋体"/>
                <w:color w:val="202020"/>
              </w:rPr>
              <w:t>支持丰富的数字信号接口，包括2路DVI，1路HDMI，1路SDI；</w:t>
            </w:r>
          </w:p>
          <w:p>
            <w:pPr>
              <w:numPr>
                <w:ilvl w:val="0"/>
                <w:numId w:val="2"/>
              </w:numPr>
              <w:rPr>
                <w:rFonts w:ascii="宋体" w:hAnsi="宋体" w:cs="宋体"/>
                <w:color w:val="202020"/>
              </w:rPr>
            </w:pPr>
            <w:r>
              <w:rPr>
                <w:rFonts w:hint="eastAsia" w:ascii="宋体" w:hAnsi="宋体" w:cs="宋体"/>
                <w:color w:val="202020"/>
              </w:rPr>
              <w:t>最大输入分辨率1920*1200@60Hz，支持分辨率任意设置；</w:t>
            </w:r>
          </w:p>
          <w:p>
            <w:pPr>
              <w:numPr>
                <w:ilvl w:val="0"/>
                <w:numId w:val="2"/>
              </w:numPr>
              <w:rPr>
                <w:rFonts w:ascii="宋体" w:hAnsi="宋体" w:cs="宋体"/>
                <w:color w:val="202020"/>
              </w:rPr>
            </w:pPr>
            <w:r>
              <w:rPr>
                <w:rFonts w:hint="eastAsia" w:ascii="宋体" w:hAnsi="宋体" w:cs="宋体"/>
                <w:color w:val="202020"/>
              </w:rPr>
              <w:t>最大带载390万像素，最宽可达8192点，或最高可达4096点；</w:t>
            </w:r>
          </w:p>
          <w:p>
            <w:pPr>
              <w:numPr>
                <w:ilvl w:val="0"/>
                <w:numId w:val="2"/>
              </w:numPr>
              <w:rPr>
                <w:rFonts w:ascii="宋体" w:hAnsi="宋体" w:cs="宋体"/>
                <w:color w:val="202020"/>
              </w:rPr>
            </w:pPr>
            <w:r>
              <w:rPr>
                <w:rFonts w:hint="eastAsia" w:ascii="宋体" w:hAnsi="宋体" w:cs="宋体"/>
                <w:color w:val="202020"/>
              </w:rPr>
              <w:t>支持视频源任意切换，任意缩放；</w:t>
            </w:r>
          </w:p>
          <w:p>
            <w:pPr>
              <w:numPr>
                <w:ilvl w:val="0"/>
                <w:numId w:val="2"/>
              </w:numPr>
              <w:rPr>
                <w:rFonts w:ascii="宋体" w:hAnsi="宋体" w:cs="宋体"/>
                <w:color w:val="202020"/>
              </w:rPr>
            </w:pPr>
            <w:r>
              <w:rPr>
                <w:rFonts w:hint="eastAsia" w:ascii="宋体" w:hAnsi="宋体" w:cs="宋体"/>
                <w:color w:val="202020"/>
              </w:rPr>
              <w:t>支持三画面显示，位置、大小可自由调节；</w:t>
            </w:r>
          </w:p>
          <w:p>
            <w:pPr>
              <w:numPr>
                <w:ilvl w:val="0"/>
                <w:numId w:val="2"/>
              </w:numPr>
              <w:rPr>
                <w:rFonts w:ascii="宋体" w:hAnsi="宋体" w:cs="宋体"/>
                <w:color w:val="202020"/>
              </w:rPr>
            </w:pPr>
            <w:r>
              <w:rPr>
                <w:rFonts w:hint="eastAsia" w:ascii="宋体" w:hAnsi="宋体" w:cs="宋体"/>
                <w:color w:val="202020"/>
              </w:rPr>
              <w:t>支持HDCP1.4；</w:t>
            </w:r>
          </w:p>
          <w:p>
            <w:pPr>
              <w:numPr>
                <w:ilvl w:val="0"/>
                <w:numId w:val="2"/>
              </w:numPr>
              <w:rPr>
                <w:rFonts w:ascii="宋体" w:hAnsi="宋体" w:cs="宋体"/>
                <w:color w:val="202020"/>
              </w:rPr>
            </w:pPr>
            <w:r>
              <w:rPr>
                <w:rFonts w:hint="eastAsia" w:ascii="宋体" w:hAnsi="宋体" w:cs="宋体"/>
                <w:color w:val="202020"/>
              </w:rPr>
              <w:t>双USB2.0高速通讯接口，用于电脑调试和主控间任意级联；</w:t>
            </w:r>
          </w:p>
          <w:p>
            <w:pPr>
              <w:numPr>
                <w:ilvl w:val="0"/>
                <w:numId w:val="2"/>
              </w:numPr>
              <w:rPr>
                <w:rFonts w:ascii="宋体" w:hAnsi="宋体" w:cs="宋体"/>
                <w:color w:val="202020"/>
              </w:rPr>
            </w:pPr>
            <w:r>
              <w:rPr>
                <w:rFonts w:hint="eastAsia" w:ascii="宋体" w:hAnsi="宋体" w:cs="宋体"/>
                <w:color w:val="202020"/>
              </w:rPr>
              <w:t>支持低亮高灰；</w:t>
            </w:r>
          </w:p>
          <w:p>
            <w:pPr>
              <w:rPr>
                <w:rFonts w:ascii="华文楷体" w:hAnsi="华文楷体" w:eastAsia="华文楷体"/>
                <w:sz w:val="21"/>
                <w:szCs w:val="21"/>
              </w:rPr>
            </w:pPr>
            <w:r>
              <w:rPr>
                <w:rFonts w:hint="eastAsia" w:ascii="宋体" w:hAnsi="宋体" w:cs="宋体"/>
                <w:color w:val="202020"/>
              </w:rPr>
              <w:t>支持亮度、色温调节，支持对比度、色调、饱和度调节；</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rPr>
                <w:rFonts w:ascii="华文楷体" w:hAnsi="华文楷体" w:eastAsia="华文楷体"/>
                <w:sz w:val="21"/>
                <w:szCs w:val="21"/>
              </w:rPr>
            </w:pPr>
            <w:r>
              <w:rPr>
                <w:rFonts w:hint="eastAsia" w:ascii="华文楷体" w:hAnsi="华文楷体" w:eastAsia="华文楷体"/>
                <w:sz w:val="21"/>
                <w:szCs w:val="21"/>
              </w:rPr>
              <w:t>1台</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pStyle w:val="6"/>
              <w:widowControl w:val="0"/>
              <w:jc w:val="center"/>
              <w:rPr>
                <w:rStyle w:val="10"/>
                <w:rFonts w:ascii="华文楷体" w:hAnsi="华文楷体" w:eastAsia="华文楷体"/>
                <w:b w:val="0"/>
                <w:bCs w:val="0"/>
                <w:sz w:val="21"/>
                <w:szCs w:val="21"/>
              </w:rPr>
            </w:pPr>
            <w:r>
              <w:rPr>
                <w:rStyle w:val="10"/>
                <w:rFonts w:hint="eastAsia" w:ascii="华文楷体" w:hAnsi="华文楷体" w:eastAsia="华文楷体"/>
                <w:b w:val="0"/>
                <w:bCs w:val="0"/>
                <w:sz w:val="21"/>
                <w:szCs w:val="21"/>
              </w:rPr>
              <w:t>4</w:t>
            </w:r>
          </w:p>
        </w:tc>
        <w:tc>
          <w:tcPr>
            <w:tcW w:w="846" w:type="dxa"/>
            <w:vAlign w:val="center"/>
          </w:tcPr>
          <w:p>
            <w:pPr>
              <w:textAlignment w:val="center"/>
              <w:rPr>
                <w:rFonts w:ascii="华文楷体" w:hAnsi="华文楷体" w:eastAsia="华文楷体"/>
                <w:sz w:val="21"/>
                <w:szCs w:val="21"/>
              </w:rPr>
            </w:pPr>
            <w:r>
              <w:rPr>
                <w:rFonts w:hint="eastAsia" w:ascii="宋体" w:hAnsi="宋体" w:cs="宋体"/>
                <w:color w:val="000000"/>
              </w:rPr>
              <w:t>LED显示屏控制软件</w:t>
            </w:r>
          </w:p>
        </w:tc>
        <w:tc>
          <w:tcPr>
            <w:tcW w:w="3969" w:type="dxa"/>
            <w:vAlign w:val="center"/>
          </w:tcPr>
          <w:p>
            <w:pPr>
              <w:rPr>
                <w:rFonts w:ascii="宋体" w:hAnsi="宋体" w:cs="宋体"/>
              </w:rPr>
            </w:pPr>
            <w:r>
              <w:rPr>
                <w:rFonts w:hint="eastAsia" w:ascii="宋体" w:hAnsi="宋体" w:cs="宋体"/>
              </w:rPr>
              <w:t>1、可实现对LED显示屏、配电柜、拼接处理器等设备进行集中管理和控制,操作端在网络内可灵活部署。</w:t>
            </w:r>
          </w:p>
          <w:p>
            <w:pPr>
              <w:rPr>
                <w:rFonts w:ascii="宋体" w:hAnsi="宋体" w:cs="宋体"/>
              </w:rPr>
            </w:pPr>
            <w:r>
              <w:rPr>
                <w:rFonts w:hint="eastAsia" w:ascii="宋体" w:hAnsi="宋体" w:cs="宋体"/>
              </w:rPr>
              <w:t>2、支持显示素材多样化，各种视频文件、图片、字幕、流媒体、IP桌面、超大分辨率图像等的任意开窗、叠加显示。</w:t>
            </w:r>
          </w:p>
          <w:p>
            <w:pPr>
              <w:rPr>
                <w:rFonts w:ascii="宋体" w:hAnsi="宋体" w:cs="宋体"/>
              </w:rPr>
            </w:pPr>
            <w:r>
              <w:rPr>
                <w:rFonts w:hint="eastAsia" w:ascii="宋体" w:hAnsi="宋体" w:cs="宋体"/>
              </w:rPr>
              <w:t>3、系统支持PC端触控操作，支持在线、离线场景编辑，支持多权限、多用户同时操作、分区操作，数据库实时数据更新。</w:t>
            </w:r>
          </w:p>
          <w:p>
            <w:pPr>
              <w:rPr>
                <w:rFonts w:ascii="宋体" w:hAnsi="宋体" w:cs="宋体"/>
              </w:rPr>
            </w:pPr>
            <w:r>
              <w:rPr>
                <w:rFonts w:hint="eastAsia" w:ascii="宋体" w:hAnsi="宋体" w:cs="宋体"/>
              </w:rPr>
              <w:t>4、C/S或B/S架构，操作平台和服务分离，控制便捷、执行效率高。</w:t>
            </w:r>
          </w:p>
          <w:p>
            <w:pPr>
              <w:rPr>
                <w:rFonts w:ascii="宋体" w:hAnsi="宋体" w:cs="宋体"/>
              </w:rPr>
            </w:pPr>
            <w:r>
              <w:rPr>
                <w:rFonts w:hint="eastAsia" w:ascii="宋体" w:hAnsi="宋体" w:cs="宋体"/>
              </w:rPr>
              <w:t>5、支持LED显示屏等系统设备工作状态实时监控、故障智能诊断。</w:t>
            </w:r>
          </w:p>
          <w:p>
            <w:pPr>
              <w:rPr>
                <w:rFonts w:ascii="宋体" w:hAnsi="宋体" w:cs="宋体"/>
              </w:rPr>
            </w:pPr>
            <w:r>
              <w:rPr>
                <w:rFonts w:hint="eastAsia" w:ascii="宋体" w:hAnsi="宋体" w:cs="宋体"/>
              </w:rPr>
              <w:t>6、支持自动的场景、节目播放、开关控制，适应各时段、多类型显示需求</w:t>
            </w:r>
          </w:p>
          <w:p>
            <w:pPr>
              <w:rPr>
                <w:rFonts w:ascii="华文楷体" w:hAnsi="华文楷体" w:eastAsia="华文楷体"/>
                <w:sz w:val="21"/>
                <w:szCs w:val="21"/>
              </w:rPr>
            </w:pPr>
            <w:r>
              <w:rPr>
                <w:rFonts w:hint="eastAsia" w:ascii="宋体" w:hAnsi="宋体" w:cs="宋体"/>
              </w:rPr>
              <w:t>7、★具有软件著作权，并有官方出具的软件测试报告</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rPr>
                <w:rFonts w:ascii="华文楷体" w:hAnsi="华文楷体" w:eastAsia="华文楷体"/>
                <w:sz w:val="21"/>
                <w:szCs w:val="21"/>
              </w:rPr>
            </w:pPr>
            <w:r>
              <w:rPr>
                <w:rFonts w:hint="eastAsia" w:ascii="华文楷体" w:hAnsi="华文楷体" w:eastAsia="华文楷体"/>
                <w:sz w:val="21"/>
                <w:szCs w:val="21"/>
              </w:rPr>
              <w:t>1套</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pStyle w:val="6"/>
              <w:widowControl w:val="0"/>
              <w:jc w:val="center"/>
              <w:rPr>
                <w:rStyle w:val="10"/>
                <w:rFonts w:ascii="华文楷体" w:hAnsi="华文楷体" w:eastAsia="华文楷体"/>
                <w:b w:val="0"/>
                <w:bCs w:val="0"/>
                <w:sz w:val="21"/>
                <w:szCs w:val="21"/>
              </w:rPr>
            </w:pPr>
            <w:r>
              <w:rPr>
                <w:rStyle w:val="10"/>
                <w:rFonts w:ascii="华文楷体" w:hAnsi="华文楷体" w:eastAsia="华文楷体"/>
                <w:b w:val="0"/>
                <w:bCs w:val="0"/>
                <w:sz w:val="21"/>
                <w:szCs w:val="21"/>
              </w:rPr>
              <w:t>5</w:t>
            </w:r>
          </w:p>
        </w:tc>
        <w:tc>
          <w:tcPr>
            <w:tcW w:w="846" w:type="dxa"/>
            <w:vAlign w:val="center"/>
          </w:tcPr>
          <w:p>
            <w:pPr>
              <w:rPr>
                <w:rFonts w:ascii="华文楷体" w:hAnsi="华文楷体" w:eastAsia="华文楷体"/>
                <w:sz w:val="21"/>
                <w:szCs w:val="21"/>
              </w:rPr>
            </w:pPr>
            <w:r>
              <w:rPr>
                <w:rFonts w:hint="eastAsia" w:ascii="宋体" w:hAnsi="宋体" w:cs="宋体"/>
                <w:color w:val="000000"/>
              </w:rPr>
              <w:t>配电系统</w:t>
            </w:r>
          </w:p>
        </w:tc>
        <w:tc>
          <w:tcPr>
            <w:tcW w:w="3969" w:type="dxa"/>
            <w:vAlign w:val="center"/>
          </w:tcPr>
          <w:p>
            <w:pPr>
              <w:spacing w:line="360" w:lineRule="auto"/>
              <w:rPr>
                <w:rFonts w:ascii="宋体" w:hAnsi="宋体" w:cs="宋体"/>
              </w:rPr>
            </w:pPr>
            <w:r>
              <w:rPr>
                <w:rFonts w:hint="eastAsia" w:ascii="宋体" w:hAnsi="宋体" w:cs="宋体"/>
                <w:color w:val="000000"/>
              </w:rPr>
              <w:t>配电柜20KW,具备过压、过流、欠压、缺相、短路、断路保护与报警功能,具备分步延时起动和分步延时断电的功能。</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rPr>
                <w:rFonts w:ascii="华文楷体" w:hAnsi="华文楷体" w:eastAsia="华文楷体"/>
                <w:sz w:val="21"/>
                <w:szCs w:val="21"/>
              </w:rPr>
            </w:pPr>
            <w:r>
              <w:rPr>
                <w:rFonts w:hint="eastAsia" w:ascii="宋体" w:hAnsi="宋体" w:cs="宋体"/>
                <w:color w:val="000000"/>
              </w:rPr>
              <w:t>1台</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pStyle w:val="6"/>
              <w:widowControl w:val="0"/>
              <w:jc w:val="center"/>
              <w:rPr>
                <w:rStyle w:val="10"/>
                <w:rFonts w:ascii="华文楷体" w:hAnsi="华文楷体" w:eastAsia="华文楷体"/>
                <w:b w:val="0"/>
                <w:bCs w:val="0"/>
                <w:sz w:val="21"/>
                <w:szCs w:val="21"/>
              </w:rPr>
            </w:pPr>
            <w:r>
              <w:rPr>
                <w:rStyle w:val="10"/>
                <w:rFonts w:ascii="华文楷体" w:hAnsi="华文楷体" w:eastAsia="华文楷体"/>
                <w:b w:val="0"/>
                <w:bCs w:val="0"/>
                <w:sz w:val="21"/>
                <w:szCs w:val="21"/>
              </w:rPr>
              <w:t>6</w:t>
            </w:r>
          </w:p>
        </w:tc>
        <w:tc>
          <w:tcPr>
            <w:tcW w:w="846" w:type="dxa"/>
            <w:vAlign w:val="center"/>
          </w:tcPr>
          <w:p>
            <w:pPr>
              <w:spacing w:line="340" w:lineRule="exact"/>
              <w:rPr>
                <w:rFonts w:ascii="宋体" w:hAnsi="宋体" w:cs="宋体"/>
                <w:color w:val="000000"/>
                <w:szCs w:val="21"/>
              </w:rPr>
            </w:pPr>
            <w:r>
              <w:rPr>
                <w:rFonts w:hint="eastAsia" w:ascii="宋体" w:hAnsi="宋体" w:cs="宋体"/>
                <w:color w:val="000000"/>
              </w:rPr>
              <w:t>屏体结构</w:t>
            </w:r>
          </w:p>
        </w:tc>
        <w:tc>
          <w:tcPr>
            <w:tcW w:w="3969" w:type="dxa"/>
            <w:vAlign w:val="center"/>
          </w:tcPr>
          <w:p>
            <w:pPr>
              <w:rPr>
                <w:rFonts w:ascii="宋体" w:hAnsi="宋体" w:cs="宋体"/>
                <w:color w:val="000000"/>
                <w:szCs w:val="21"/>
                <w:lang w:val="en-GB"/>
              </w:rPr>
            </w:pPr>
            <w:r>
              <w:rPr>
                <w:rFonts w:hint="eastAsia" w:ascii="宋体" w:hAnsi="宋体" w:cs="宋体"/>
                <w:color w:val="000000"/>
              </w:rPr>
              <w:t>定制结构、框架，满足屏体安装使用要求，用材符合国家标准；</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pPr>
            <w:r>
              <w:rPr>
                <w:rFonts w:ascii="宋体" w:hAnsi="宋体" w:cs="宋体"/>
                <w:color w:val="000000"/>
              </w:rPr>
              <w:t>11.98</w:t>
            </w:r>
            <w:r>
              <w:rPr>
                <w:rFonts w:hint="eastAsia" w:ascii="宋体" w:hAnsi="宋体" w:cs="宋体"/>
                <w:color w:val="000000"/>
              </w:rPr>
              <w:t>㎡</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pStyle w:val="6"/>
              <w:widowControl w:val="0"/>
              <w:jc w:val="center"/>
              <w:rPr>
                <w:rStyle w:val="10"/>
                <w:rFonts w:ascii="华文楷体" w:hAnsi="华文楷体" w:eastAsia="华文楷体"/>
                <w:b w:val="0"/>
                <w:bCs w:val="0"/>
                <w:sz w:val="21"/>
                <w:szCs w:val="21"/>
              </w:rPr>
            </w:pPr>
            <w:r>
              <w:rPr>
                <w:rStyle w:val="10"/>
                <w:rFonts w:ascii="华文楷体" w:hAnsi="华文楷体" w:eastAsia="华文楷体"/>
                <w:b w:val="0"/>
                <w:bCs w:val="0"/>
                <w:sz w:val="21"/>
                <w:szCs w:val="21"/>
              </w:rPr>
              <w:t>7</w:t>
            </w:r>
          </w:p>
        </w:tc>
        <w:tc>
          <w:tcPr>
            <w:tcW w:w="846" w:type="dxa"/>
            <w:vAlign w:val="center"/>
          </w:tcPr>
          <w:p>
            <w:pPr>
              <w:rPr>
                <w:rFonts w:ascii="宋体" w:hAnsi="宋体" w:cs="宋体"/>
                <w:color w:val="000000"/>
                <w:szCs w:val="21"/>
              </w:rPr>
            </w:pPr>
            <w:r>
              <w:rPr>
                <w:rFonts w:hint="eastAsia" w:ascii="宋体" w:hAnsi="宋体" w:cs="宋体"/>
                <w:color w:val="000000"/>
              </w:rPr>
              <w:t>屏体包边</w:t>
            </w:r>
          </w:p>
        </w:tc>
        <w:tc>
          <w:tcPr>
            <w:tcW w:w="3969" w:type="dxa"/>
            <w:vAlign w:val="center"/>
          </w:tcPr>
          <w:p>
            <w:pPr>
              <w:rPr>
                <w:rFonts w:ascii="宋体" w:hAnsi="宋体" w:cs="宋体"/>
                <w:color w:val="000000"/>
                <w:szCs w:val="21"/>
                <w:lang w:val="en-GB"/>
              </w:rPr>
            </w:pPr>
            <w:r>
              <w:rPr>
                <w:rFonts w:hint="eastAsia" w:ascii="宋体" w:hAnsi="宋体" w:cs="宋体"/>
                <w:color w:val="000000"/>
              </w:rPr>
              <w:t>根据采购人实际使用环境进行定制，保证整体装饰美观大方</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pPr>
            <w:r>
              <w:rPr>
                <w:rFonts w:ascii="宋体" w:hAnsi="宋体" w:cs="宋体"/>
                <w:color w:val="000000"/>
              </w:rPr>
              <w:t>11.98</w:t>
            </w:r>
            <w:r>
              <w:rPr>
                <w:rFonts w:hint="eastAsia" w:ascii="宋体" w:hAnsi="宋体" w:cs="宋体"/>
                <w:color w:val="000000"/>
              </w:rPr>
              <w:t>㎡</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pStyle w:val="6"/>
              <w:widowControl w:val="0"/>
              <w:jc w:val="center"/>
              <w:rPr>
                <w:rStyle w:val="10"/>
                <w:rFonts w:ascii="华文楷体" w:hAnsi="华文楷体" w:eastAsia="华文楷体"/>
                <w:b w:val="0"/>
                <w:bCs w:val="0"/>
                <w:sz w:val="21"/>
                <w:szCs w:val="21"/>
              </w:rPr>
            </w:pPr>
            <w:r>
              <w:rPr>
                <w:rStyle w:val="10"/>
                <w:rFonts w:ascii="华文楷体" w:hAnsi="华文楷体" w:eastAsia="华文楷体"/>
                <w:b w:val="0"/>
                <w:bCs w:val="0"/>
                <w:sz w:val="21"/>
                <w:szCs w:val="21"/>
              </w:rPr>
              <w:t>8</w:t>
            </w:r>
          </w:p>
        </w:tc>
        <w:tc>
          <w:tcPr>
            <w:tcW w:w="846" w:type="dxa"/>
            <w:vAlign w:val="center"/>
          </w:tcPr>
          <w:p>
            <w:pPr>
              <w:rPr>
                <w:rFonts w:ascii="华文楷体" w:hAnsi="华文楷体" w:eastAsia="华文楷体"/>
                <w:sz w:val="21"/>
                <w:szCs w:val="21"/>
              </w:rPr>
            </w:pPr>
            <w:r>
              <w:rPr>
                <w:rFonts w:hint="eastAsia" w:ascii="宋体" w:hAnsi="宋体" w:cs="宋体"/>
                <w:color w:val="000000"/>
              </w:rPr>
              <w:t>安装调试及维保</w:t>
            </w:r>
          </w:p>
        </w:tc>
        <w:tc>
          <w:tcPr>
            <w:tcW w:w="3969" w:type="dxa"/>
            <w:vAlign w:val="center"/>
          </w:tcPr>
          <w:p>
            <w:pPr>
              <w:rPr>
                <w:rFonts w:ascii="华文楷体" w:hAnsi="华文楷体" w:eastAsia="华文楷体"/>
                <w:sz w:val="21"/>
                <w:szCs w:val="21"/>
              </w:rPr>
            </w:pPr>
            <w:r>
              <w:rPr>
                <w:rFonts w:hint="eastAsia" w:ascii="宋体" w:hAnsi="宋体" w:cs="宋体"/>
                <w:color w:val="000000"/>
              </w:rPr>
              <w:t>显示屏体组装及现场安装调试费用，培训及货物运输费用，及其他各类设备连接线及跳线，屏体信号连接线，螺丝卡扣等，电源线等，满足系统要求</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rPr>
                <w:rFonts w:ascii="华文楷体" w:hAnsi="华文楷体" w:eastAsia="华文楷体"/>
                <w:sz w:val="21"/>
                <w:szCs w:val="21"/>
              </w:rPr>
            </w:pPr>
            <w:r>
              <w:rPr>
                <w:rFonts w:ascii="宋体" w:hAnsi="宋体" w:cs="宋体"/>
                <w:color w:val="000000"/>
              </w:rPr>
              <w:t>11.98</w:t>
            </w:r>
            <w:r>
              <w:rPr>
                <w:rFonts w:hint="eastAsia" w:ascii="宋体" w:hAnsi="宋体" w:cs="宋体"/>
                <w:color w:val="000000"/>
              </w:rPr>
              <w:t>㎡</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0" w:type="dxa"/>
            <w:vAlign w:val="center"/>
          </w:tcPr>
          <w:p>
            <w:pPr>
              <w:pStyle w:val="6"/>
              <w:widowControl w:val="0"/>
              <w:jc w:val="center"/>
              <w:rPr>
                <w:rStyle w:val="10"/>
                <w:rFonts w:ascii="华文楷体" w:hAnsi="华文楷体" w:eastAsia="华文楷体"/>
                <w:b w:val="0"/>
                <w:bCs w:val="0"/>
                <w:sz w:val="21"/>
                <w:szCs w:val="21"/>
              </w:rPr>
            </w:pPr>
            <w:r>
              <w:rPr>
                <w:rStyle w:val="10"/>
                <w:rFonts w:ascii="华文楷体" w:hAnsi="华文楷体" w:eastAsia="华文楷体"/>
                <w:b w:val="0"/>
                <w:bCs w:val="0"/>
                <w:sz w:val="21"/>
                <w:szCs w:val="21"/>
              </w:rPr>
              <w:t>9</w:t>
            </w:r>
          </w:p>
        </w:tc>
        <w:tc>
          <w:tcPr>
            <w:tcW w:w="846" w:type="dxa"/>
            <w:vAlign w:val="center"/>
          </w:tcPr>
          <w:p>
            <w:pPr>
              <w:rPr>
                <w:rFonts w:ascii="宋体" w:hAnsi="宋体" w:cs="宋体"/>
                <w:color w:val="000000"/>
                <w:szCs w:val="21"/>
              </w:rPr>
            </w:pPr>
            <w:r>
              <w:rPr>
                <w:rFonts w:hint="eastAsia" w:ascii="宋体" w:hAnsi="宋体" w:cs="宋体"/>
                <w:color w:val="000000"/>
              </w:rPr>
              <w:t>综合布线</w:t>
            </w:r>
          </w:p>
        </w:tc>
        <w:tc>
          <w:tcPr>
            <w:tcW w:w="3969" w:type="dxa"/>
            <w:vAlign w:val="center"/>
          </w:tcPr>
          <w:p>
            <w:pPr>
              <w:rPr>
                <w:rFonts w:ascii="宋体" w:hAnsi="宋体" w:cs="宋体"/>
                <w:color w:val="000000"/>
                <w:szCs w:val="21"/>
                <w:lang w:val="en-GB"/>
              </w:rPr>
            </w:pPr>
            <w:r>
              <w:rPr>
                <w:rFonts w:hint="eastAsia" w:ascii="宋体" w:hAnsi="宋体" w:cs="宋体"/>
                <w:color w:val="000000"/>
              </w:rPr>
              <w:t>（电源线、网线）布线至屏体，含相关线材、管材及人工布线费用</w:t>
            </w:r>
          </w:p>
        </w:tc>
        <w:tc>
          <w:tcPr>
            <w:tcW w:w="896" w:type="dxa"/>
            <w:vAlign w:val="center"/>
          </w:tcPr>
          <w:p>
            <w:pPr>
              <w:jc w:val="center"/>
              <w:rPr>
                <w:rFonts w:ascii="华文楷体" w:hAnsi="华文楷体" w:eastAsia="华文楷体"/>
                <w:sz w:val="21"/>
                <w:szCs w:val="21"/>
              </w:rPr>
            </w:pPr>
          </w:p>
        </w:tc>
        <w:tc>
          <w:tcPr>
            <w:tcW w:w="1231" w:type="dxa"/>
            <w:vAlign w:val="center"/>
          </w:tcPr>
          <w:p>
            <w:pPr>
              <w:jc w:val="center"/>
              <w:rPr>
                <w:sz w:val="22"/>
              </w:rPr>
            </w:pPr>
            <w:r>
              <w:rPr>
                <w:rFonts w:hint="eastAsia" w:ascii="宋体" w:hAnsi="宋体" w:cs="宋体"/>
                <w:color w:val="000000"/>
              </w:rPr>
              <w:t>1项</w:t>
            </w:r>
          </w:p>
        </w:tc>
        <w:tc>
          <w:tcPr>
            <w:tcW w:w="1327" w:type="dxa"/>
            <w:vAlign w:val="center"/>
          </w:tcPr>
          <w:p>
            <w:pPr>
              <w:jc w:val="cente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0" w:type="dxa"/>
            <w:vAlign w:val="center"/>
          </w:tcPr>
          <w:p>
            <w:pPr>
              <w:pStyle w:val="6"/>
              <w:widowControl w:val="0"/>
              <w:rPr>
                <w:rStyle w:val="10"/>
                <w:rFonts w:ascii="华文楷体" w:hAnsi="华文楷体" w:eastAsia="华文楷体"/>
                <w:sz w:val="21"/>
                <w:szCs w:val="21"/>
              </w:rPr>
            </w:pPr>
            <w:r>
              <w:rPr>
                <w:rStyle w:val="10"/>
                <w:rFonts w:hint="eastAsia" w:ascii="华文楷体" w:hAnsi="华文楷体" w:eastAsia="华文楷体"/>
                <w:sz w:val="21"/>
                <w:szCs w:val="21"/>
              </w:rPr>
              <w:t>合计</w:t>
            </w:r>
          </w:p>
        </w:tc>
        <w:tc>
          <w:tcPr>
            <w:tcW w:w="6942" w:type="dxa"/>
            <w:gridSpan w:val="4"/>
            <w:vAlign w:val="center"/>
          </w:tcPr>
          <w:p>
            <w:pPr>
              <w:rPr>
                <w:rFonts w:asciiTheme="minorEastAsia" w:hAnsiTheme="minorEastAsia" w:eastAsiaTheme="minorEastAsia"/>
                <w:sz w:val="22"/>
                <w:szCs w:val="22"/>
              </w:rPr>
            </w:pPr>
            <w:r>
              <w:rPr>
                <w:rFonts w:hint="eastAsia" w:asciiTheme="minorEastAsia" w:hAnsiTheme="minorEastAsia" w:eastAsiaTheme="minorEastAsia"/>
                <w:sz w:val="22"/>
                <w:szCs w:val="22"/>
              </w:rPr>
              <w:t>人民币大写：</w:t>
            </w:r>
            <w:r>
              <w:rPr>
                <w:rFonts w:asciiTheme="minorEastAsia" w:hAnsiTheme="minorEastAsia" w:eastAsiaTheme="minorEastAsia"/>
                <w:sz w:val="22"/>
                <w:szCs w:val="22"/>
              </w:rPr>
              <w:t xml:space="preserve"> </w:t>
            </w:r>
          </w:p>
        </w:tc>
        <w:tc>
          <w:tcPr>
            <w:tcW w:w="1327" w:type="dxa"/>
            <w:vAlign w:val="center"/>
          </w:tcPr>
          <w:p>
            <w:pPr>
              <w:rPr>
                <w:rFonts w:ascii="华文楷体" w:hAnsi="华文楷体" w:eastAsia="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0" w:type="dxa"/>
            <w:vAlign w:val="center"/>
          </w:tcPr>
          <w:p>
            <w:pPr>
              <w:pStyle w:val="6"/>
              <w:widowControl w:val="0"/>
              <w:rPr>
                <w:rStyle w:val="10"/>
                <w:rFonts w:ascii="华文楷体" w:hAnsi="华文楷体" w:eastAsia="华文楷体"/>
                <w:sz w:val="21"/>
                <w:szCs w:val="21"/>
              </w:rPr>
            </w:pPr>
            <w:r>
              <w:rPr>
                <w:rStyle w:val="10"/>
                <w:rFonts w:hint="eastAsia" w:ascii="华文楷体" w:hAnsi="华文楷体" w:eastAsia="华文楷体"/>
                <w:sz w:val="21"/>
                <w:szCs w:val="21"/>
              </w:rPr>
              <w:t>备注</w:t>
            </w:r>
          </w:p>
        </w:tc>
        <w:tc>
          <w:tcPr>
            <w:tcW w:w="6942" w:type="dxa"/>
            <w:gridSpan w:val="4"/>
            <w:vAlign w:val="center"/>
          </w:tcPr>
          <w:p>
            <w:pPr>
              <w:pStyle w:val="19"/>
              <w:numPr>
                <w:ilvl w:val="0"/>
                <w:numId w:val="3"/>
              </w:numPr>
              <w:ind w:firstLineChars="0"/>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计算机及音响设备校方自备</w:t>
            </w:r>
            <w:r>
              <w:rPr>
                <w:rFonts w:hint="eastAsia" w:ascii="Helvetica" w:hAnsi="Helvetica" w:cs="Helvetica"/>
                <w:color w:val="333333"/>
                <w:szCs w:val="21"/>
                <w:shd w:val="clear" w:color="auto" w:fill="FFFFFF"/>
                <w:lang w:eastAsia="zh-CN"/>
              </w:rPr>
              <w:t>。</w:t>
            </w:r>
          </w:p>
          <w:p>
            <w:pPr>
              <w:numPr>
                <w:ilvl w:val="0"/>
                <w:numId w:val="3"/>
              </w:numPr>
              <w:spacing w:after="200" w:line="276" w:lineRule="auto"/>
              <w:ind w:left="360" w:leftChars="0" w:hanging="360" w:firstLineChars="0"/>
              <w:contextualSpacing/>
              <w:rPr>
                <w:rFonts w:ascii="Helvetica" w:hAnsi="Helvetica" w:cs="Helvetica"/>
                <w:color w:val="333333"/>
                <w:szCs w:val="21"/>
                <w:shd w:val="clear" w:color="auto" w:fill="FFFFFF"/>
              </w:rPr>
            </w:pPr>
            <w:r>
              <w:rPr>
                <w:rFonts w:ascii="Helvetica" w:hAnsi="Helvetica" w:cs="Helvetica"/>
                <w:color w:val="333333"/>
                <w:szCs w:val="21"/>
                <w:shd w:val="clear" w:color="auto" w:fill="FFFFFF"/>
              </w:rPr>
              <w:t>所投的所有产品质量及安装要达到国家或国际标准。</w:t>
            </w:r>
          </w:p>
          <w:p>
            <w:pPr>
              <w:numPr>
                <w:ilvl w:val="0"/>
                <w:numId w:val="3"/>
              </w:numPr>
              <w:spacing w:after="200" w:line="276" w:lineRule="auto"/>
              <w:ind w:left="360" w:leftChars="0" w:hanging="360" w:firstLineChars="0"/>
              <w:contextualSpacing/>
              <w:rPr>
                <w:rFonts w:hint="default" w:ascii="Helvetica" w:hAnsi="Helvetica" w:cs="Helvetica"/>
                <w:color w:val="333333"/>
                <w:szCs w:val="21"/>
                <w:shd w:val="clear" w:color="auto" w:fill="FFFFFF"/>
                <w:lang w:val="en-US" w:eastAsia="zh-CN"/>
              </w:rPr>
            </w:pPr>
            <w:r>
              <w:rPr>
                <w:rFonts w:hint="eastAsia" w:ascii="Helvetica" w:hAnsi="Helvetica" w:cs="Helvetica"/>
                <w:color w:val="333333"/>
                <w:szCs w:val="21"/>
                <w:shd w:val="clear" w:color="auto" w:fill="FFFFFF"/>
                <w:lang w:val="en-US" w:eastAsia="zh-CN"/>
              </w:rPr>
              <w:t>所投设备类产品用电单位能耗等级为二级及以上</w:t>
            </w:r>
            <w:bookmarkStart w:id="0" w:name="_GoBack"/>
            <w:bookmarkEnd w:id="0"/>
            <w:r>
              <w:rPr>
                <w:rFonts w:hint="eastAsia" w:ascii="Helvetica" w:hAnsi="Helvetica" w:cs="Helvetica"/>
                <w:color w:val="333333"/>
                <w:szCs w:val="21"/>
                <w:shd w:val="clear" w:color="auto" w:fill="FFFFFF"/>
                <w:lang w:val="en-US" w:eastAsia="zh-CN"/>
              </w:rPr>
              <w:t>。</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4</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 xml:space="preserve">.项目实施过程中产生的垃圾需要及时清运、处理。项目实施、调试完成后，对项目实施过程中涉及的场地、设备等物品及场所，进行保洁和清理后再交付。 </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5</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本次</w:t>
            </w:r>
            <w:r>
              <w:rPr>
                <w:rFonts w:hint="eastAsia" w:ascii="Helvetica" w:hAnsi="Helvetica" w:cs="Helvetica"/>
                <w:color w:val="333333"/>
                <w:szCs w:val="21"/>
                <w:shd w:val="clear" w:color="auto" w:fill="FFFFFF"/>
              </w:rPr>
              <w:t>采购</w:t>
            </w:r>
            <w:r>
              <w:rPr>
                <w:rFonts w:ascii="Helvetica" w:hAnsi="Helvetica" w:cs="Helvetica"/>
                <w:color w:val="333333"/>
                <w:szCs w:val="21"/>
                <w:shd w:val="clear" w:color="auto" w:fill="FFFFFF"/>
              </w:rPr>
              <w:t xml:space="preserve">LED产品原厂质保五年。 </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6</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本项目报价为一次性包干，不再做调整，报价供应商在报价前需自行至业主单位现场勘查（费用自理），否则存在的风险由</w:t>
            </w:r>
            <w:r>
              <w:rPr>
                <w:rFonts w:hint="eastAsia" w:ascii="Helvetica" w:hAnsi="Helvetica" w:cs="Helvetica"/>
                <w:color w:val="333333"/>
                <w:szCs w:val="21"/>
                <w:shd w:val="clear" w:color="auto" w:fill="FFFFFF"/>
              </w:rPr>
              <w:t>供</w:t>
            </w:r>
            <w:r>
              <w:rPr>
                <w:rFonts w:ascii="Helvetica" w:hAnsi="Helvetica" w:cs="Helvetica"/>
                <w:color w:val="333333"/>
                <w:szCs w:val="21"/>
                <w:shd w:val="clear" w:color="auto" w:fill="FFFFFF"/>
              </w:rPr>
              <w:t xml:space="preserve">方自行承担。 </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7</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所投产品必须满足</w:t>
            </w:r>
            <w:r>
              <w:rPr>
                <w:rFonts w:hint="eastAsia" w:ascii="Helvetica" w:hAnsi="Helvetica" w:cs="Helvetica"/>
                <w:color w:val="333333"/>
                <w:szCs w:val="21"/>
                <w:shd w:val="clear" w:color="auto" w:fill="FFFFFF"/>
              </w:rPr>
              <w:t>参数</w:t>
            </w:r>
            <w:r>
              <w:rPr>
                <w:rFonts w:ascii="Helvetica" w:hAnsi="Helvetica" w:cs="Helvetica"/>
                <w:color w:val="333333"/>
                <w:szCs w:val="21"/>
                <w:shd w:val="clear" w:color="auto" w:fill="FFFFFF"/>
              </w:rPr>
              <w:t>的要求，带</w:t>
            </w:r>
            <w:r>
              <w:rPr>
                <w:rFonts w:ascii="Segoe UI Symbol" w:hAnsi="Segoe UI Symbol" w:cs="Segoe UI Symbol"/>
                <w:color w:val="333333"/>
                <w:szCs w:val="21"/>
                <w:shd w:val="clear" w:color="auto" w:fill="FFFFFF"/>
              </w:rPr>
              <w:t>★</w:t>
            </w:r>
            <w:r>
              <w:rPr>
                <w:rFonts w:ascii="Helvetica" w:hAnsi="Helvetica" w:cs="Helvetica"/>
                <w:color w:val="333333"/>
                <w:szCs w:val="21"/>
                <w:shd w:val="clear" w:color="auto" w:fill="FFFFFF"/>
              </w:rPr>
              <w:t>号为重要指标参数不允许做偏离，中标后五个工作日内必须按照招标参数要求提供相应的证明资料原件、质保涵、授权书并加盖原厂商公章，否则做无效</w:t>
            </w:r>
            <w:r>
              <w:rPr>
                <w:rFonts w:hint="eastAsia" w:ascii="Helvetica" w:hAnsi="Helvetica" w:cs="Helvetica"/>
                <w:color w:val="333333"/>
                <w:szCs w:val="21"/>
                <w:shd w:val="clear" w:color="auto" w:fill="FFFFFF"/>
              </w:rPr>
              <w:t>报价</w:t>
            </w:r>
            <w:r>
              <w:rPr>
                <w:rFonts w:ascii="Helvetica" w:hAnsi="Helvetica" w:cs="Helvetica"/>
                <w:color w:val="333333"/>
                <w:szCs w:val="21"/>
                <w:shd w:val="clear" w:color="auto" w:fill="FFFFFF"/>
              </w:rPr>
              <w:t>处理，对于提供虚假参数强行</w:t>
            </w:r>
            <w:r>
              <w:rPr>
                <w:rFonts w:hint="eastAsia" w:ascii="Helvetica" w:hAnsi="Helvetica" w:cs="Helvetica"/>
                <w:color w:val="333333"/>
                <w:szCs w:val="21"/>
                <w:shd w:val="clear" w:color="auto" w:fill="FFFFFF"/>
              </w:rPr>
              <w:t>成交</w:t>
            </w:r>
            <w:r>
              <w:rPr>
                <w:rFonts w:ascii="Helvetica" w:hAnsi="Helvetica" w:cs="Helvetica"/>
                <w:color w:val="333333"/>
                <w:szCs w:val="21"/>
                <w:shd w:val="clear" w:color="auto" w:fill="FFFFFF"/>
              </w:rPr>
              <w:t>的供应商，经测试查实后将以废标处理并上报上级部门。</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8</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以上技术参数及要求是</w:t>
            </w:r>
            <w:r>
              <w:rPr>
                <w:rFonts w:hint="eastAsia" w:ascii="Helvetica" w:hAnsi="Helvetica" w:cs="Helvetica"/>
                <w:color w:val="333333"/>
                <w:szCs w:val="21"/>
                <w:shd w:val="clear" w:color="auto" w:fill="FFFFFF"/>
              </w:rPr>
              <w:t>采购人</w:t>
            </w:r>
            <w:r>
              <w:rPr>
                <w:rFonts w:ascii="Helvetica" w:hAnsi="Helvetica" w:cs="Helvetica"/>
                <w:color w:val="333333"/>
                <w:szCs w:val="21"/>
                <w:shd w:val="clear" w:color="auto" w:fill="FFFFFF"/>
              </w:rPr>
              <w:t>提出的货物技术说明，如</w:t>
            </w:r>
            <w:r>
              <w:rPr>
                <w:rFonts w:hint="eastAsia" w:ascii="Helvetica" w:hAnsi="Helvetica" w:cs="Helvetica"/>
                <w:color w:val="333333"/>
                <w:szCs w:val="21"/>
                <w:shd w:val="clear" w:color="auto" w:fill="FFFFFF"/>
              </w:rPr>
              <w:t>采价表</w:t>
            </w:r>
            <w:r>
              <w:rPr>
                <w:rFonts w:ascii="Helvetica" w:hAnsi="Helvetica" w:cs="Helvetica"/>
                <w:color w:val="333333"/>
                <w:szCs w:val="21"/>
                <w:shd w:val="clear" w:color="auto" w:fill="FFFFFF"/>
              </w:rPr>
              <w:t>中遗漏了完工必须具备的设备、配件辅料或服务，请</w:t>
            </w:r>
            <w:r>
              <w:rPr>
                <w:rFonts w:hint="eastAsia" w:ascii="Helvetica" w:hAnsi="Helvetica" w:cs="Helvetica"/>
                <w:color w:val="333333"/>
                <w:szCs w:val="21"/>
                <w:shd w:val="clear" w:color="auto" w:fill="FFFFFF"/>
              </w:rPr>
              <w:t>报价人</w:t>
            </w:r>
            <w:r>
              <w:rPr>
                <w:rFonts w:ascii="Helvetica" w:hAnsi="Helvetica" w:cs="Helvetica"/>
                <w:color w:val="333333"/>
                <w:szCs w:val="21"/>
                <w:shd w:val="clear" w:color="auto" w:fill="FFFFFF"/>
              </w:rPr>
              <w:t>在</w:t>
            </w:r>
            <w:r>
              <w:rPr>
                <w:rFonts w:hint="eastAsia" w:ascii="Helvetica" w:hAnsi="Helvetica" w:cs="Helvetica"/>
                <w:color w:val="333333"/>
                <w:szCs w:val="21"/>
                <w:shd w:val="clear" w:color="auto" w:fill="FFFFFF"/>
              </w:rPr>
              <w:t>采价表</w:t>
            </w:r>
            <w:r>
              <w:rPr>
                <w:rFonts w:ascii="Helvetica" w:hAnsi="Helvetica" w:cs="Helvetica"/>
                <w:color w:val="333333"/>
                <w:szCs w:val="21"/>
                <w:shd w:val="clear" w:color="auto" w:fill="FFFFFF"/>
              </w:rPr>
              <w:t>中明确指出，并提出解决方案供</w:t>
            </w:r>
            <w:r>
              <w:rPr>
                <w:rFonts w:hint="eastAsia" w:ascii="Helvetica" w:hAnsi="Helvetica" w:cs="Helvetica"/>
                <w:color w:val="333333"/>
                <w:szCs w:val="21"/>
                <w:shd w:val="clear" w:color="auto" w:fill="FFFFFF"/>
              </w:rPr>
              <w:t>采购</w:t>
            </w:r>
            <w:r>
              <w:rPr>
                <w:rFonts w:ascii="Helvetica" w:hAnsi="Helvetica" w:cs="Helvetica"/>
                <w:color w:val="333333"/>
                <w:szCs w:val="21"/>
                <w:shd w:val="clear" w:color="auto" w:fill="FFFFFF"/>
              </w:rPr>
              <w:t>人参考；</w:t>
            </w:r>
            <w:r>
              <w:rPr>
                <w:rFonts w:hint="eastAsia" w:ascii="Helvetica" w:hAnsi="Helvetica" w:cs="Helvetica"/>
                <w:color w:val="333333"/>
                <w:szCs w:val="21"/>
                <w:shd w:val="clear" w:color="auto" w:fill="FFFFFF"/>
              </w:rPr>
              <w:t>供方</w:t>
            </w:r>
            <w:r>
              <w:rPr>
                <w:rFonts w:ascii="Helvetica" w:hAnsi="Helvetica" w:cs="Helvetica"/>
                <w:color w:val="333333"/>
                <w:szCs w:val="21"/>
                <w:shd w:val="clear" w:color="auto" w:fill="FFFFFF"/>
              </w:rPr>
              <w:t>有义务保证</w:t>
            </w:r>
            <w:r>
              <w:rPr>
                <w:rFonts w:hint="eastAsia" w:ascii="Helvetica" w:hAnsi="Helvetica" w:cs="Helvetica"/>
                <w:color w:val="333333"/>
                <w:szCs w:val="21"/>
                <w:shd w:val="clear" w:color="auto" w:fill="FFFFFF"/>
              </w:rPr>
              <w:t>采购</w:t>
            </w:r>
            <w:r>
              <w:rPr>
                <w:rFonts w:ascii="Helvetica" w:hAnsi="Helvetica" w:cs="Helvetica"/>
                <w:color w:val="333333"/>
                <w:szCs w:val="21"/>
                <w:shd w:val="clear" w:color="auto" w:fill="FFFFFF"/>
              </w:rPr>
              <w:t>人该项目的完整性，如项目实施过程中因缺少设备、配件辅料或服务导致无法满足</w:t>
            </w:r>
            <w:r>
              <w:rPr>
                <w:rFonts w:hint="eastAsia" w:ascii="Helvetica" w:hAnsi="Helvetica" w:cs="Helvetica"/>
                <w:color w:val="333333"/>
                <w:szCs w:val="21"/>
                <w:shd w:val="clear" w:color="auto" w:fill="FFFFFF"/>
              </w:rPr>
              <w:t>采购</w:t>
            </w:r>
            <w:r>
              <w:rPr>
                <w:rFonts w:ascii="Helvetica" w:hAnsi="Helvetica" w:cs="Helvetica"/>
                <w:color w:val="333333"/>
                <w:szCs w:val="21"/>
                <w:shd w:val="clear" w:color="auto" w:fill="FFFFFF"/>
              </w:rPr>
              <w:t>人正常需求，</w:t>
            </w:r>
            <w:r>
              <w:rPr>
                <w:rFonts w:hint="eastAsia" w:ascii="Helvetica" w:hAnsi="Helvetica" w:cs="Helvetica"/>
                <w:color w:val="333333"/>
                <w:szCs w:val="21"/>
                <w:shd w:val="clear" w:color="auto" w:fill="FFFFFF"/>
              </w:rPr>
              <w:t>供方</w:t>
            </w:r>
            <w:r>
              <w:rPr>
                <w:rFonts w:ascii="Helvetica" w:hAnsi="Helvetica" w:cs="Helvetica"/>
                <w:color w:val="333333"/>
                <w:szCs w:val="21"/>
                <w:shd w:val="clear" w:color="auto" w:fill="FFFFFF"/>
              </w:rPr>
              <w:t>须免费提供。</w:t>
            </w:r>
          </w:p>
          <w:p>
            <w:pPr>
              <w:spacing w:after="200" w:line="276" w:lineRule="auto"/>
              <w:contextualSpacing/>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lang w:val="en-US" w:eastAsia="zh-CN"/>
              </w:rPr>
              <w:t>9</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报价的产品品牌只在要求的推荐品牌范围内</w:t>
            </w:r>
            <w:r>
              <w:rPr>
                <w:rFonts w:hint="eastAsia" w:ascii="Helvetica" w:hAnsi="Helvetica" w:cs="Helvetica"/>
                <w:color w:val="333333"/>
                <w:szCs w:val="21"/>
                <w:shd w:val="clear" w:color="auto" w:fill="FFFFFF"/>
                <w:lang w:val="en-US" w:eastAsia="zh-CN"/>
              </w:rPr>
              <w:t>三</w:t>
            </w:r>
            <w:r>
              <w:rPr>
                <w:rFonts w:ascii="Helvetica" w:hAnsi="Helvetica" w:cs="Helvetica"/>
                <w:color w:val="333333"/>
                <w:szCs w:val="21"/>
                <w:shd w:val="clear" w:color="auto" w:fill="FFFFFF"/>
              </w:rPr>
              <w:t>选一，本次</w:t>
            </w:r>
            <w:r>
              <w:rPr>
                <w:rFonts w:hint="eastAsia" w:ascii="Helvetica" w:hAnsi="Helvetica" w:cs="Helvetica"/>
                <w:color w:val="333333"/>
                <w:szCs w:val="21"/>
                <w:shd w:val="clear" w:color="auto" w:fill="FFFFFF"/>
              </w:rPr>
              <w:t>公开采价</w:t>
            </w:r>
            <w:r>
              <w:rPr>
                <w:rFonts w:ascii="Helvetica" w:hAnsi="Helvetica" w:cs="Helvetica"/>
                <w:color w:val="333333"/>
                <w:szCs w:val="21"/>
                <w:shd w:val="clear" w:color="auto" w:fill="FFFFFF"/>
              </w:rPr>
              <w:t>不接受推荐品牌范围外的品牌的报价，且必须提供</w:t>
            </w:r>
            <w:r>
              <w:rPr>
                <w:rFonts w:hint="eastAsia" w:ascii="Helvetica" w:hAnsi="Helvetica" w:cs="Helvetica"/>
                <w:color w:val="333333"/>
                <w:szCs w:val="21"/>
                <w:shd w:val="clear" w:color="auto" w:fill="FFFFFF"/>
              </w:rPr>
              <w:t>参数表</w:t>
            </w:r>
            <w:r>
              <w:rPr>
                <w:rFonts w:ascii="Helvetica" w:hAnsi="Helvetica" w:cs="Helvetica"/>
                <w:color w:val="333333"/>
                <w:szCs w:val="21"/>
                <w:shd w:val="clear" w:color="auto" w:fill="FFFFFF"/>
              </w:rPr>
              <w:t>中所需的各种证书和厂家服务函（加盖生产厂家公章）作为附件</w:t>
            </w:r>
            <w:r>
              <w:rPr>
                <w:rFonts w:hint="eastAsia" w:ascii="Helvetica" w:hAnsi="Helvetica" w:cs="Helvetica"/>
                <w:color w:val="333333"/>
                <w:szCs w:val="21"/>
                <w:shd w:val="clear" w:color="auto" w:fill="FFFFFF"/>
              </w:rPr>
              <w:t>同时密封报价</w:t>
            </w:r>
            <w:r>
              <w:rPr>
                <w:rFonts w:ascii="Helvetica" w:hAnsi="Helvetica" w:cs="Helvetica"/>
                <w:color w:val="333333"/>
                <w:szCs w:val="21"/>
                <w:shd w:val="clear" w:color="auto" w:fill="FFFFFF"/>
              </w:rPr>
              <w:t>，否则</w:t>
            </w:r>
            <w:r>
              <w:rPr>
                <w:rFonts w:hint="eastAsia" w:ascii="Helvetica" w:hAnsi="Helvetica" w:cs="Helvetica"/>
                <w:color w:val="333333"/>
                <w:szCs w:val="21"/>
                <w:shd w:val="clear" w:color="auto" w:fill="FFFFFF"/>
              </w:rPr>
              <w:t>采购人</w:t>
            </w:r>
            <w:r>
              <w:rPr>
                <w:rFonts w:ascii="Helvetica" w:hAnsi="Helvetica" w:cs="Helvetica"/>
                <w:color w:val="333333"/>
                <w:szCs w:val="21"/>
                <w:shd w:val="clear" w:color="auto" w:fill="FFFFFF"/>
              </w:rPr>
              <w:t>有权按不诚信单位上报</w:t>
            </w:r>
            <w:r>
              <w:rPr>
                <w:rFonts w:hint="eastAsia" w:ascii="Helvetica" w:hAnsi="Helvetica" w:cs="Helvetica"/>
                <w:color w:val="333333"/>
                <w:szCs w:val="21"/>
                <w:shd w:val="clear" w:color="auto" w:fill="FFFFFF"/>
              </w:rPr>
              <w:t>市国资委</w:t>
            </w:r>
            <w:r>
              <w:rPr>
                <w:rFonts w:ascii="Helvetica" w:hAnsi="Helvetica" w:cs="Helvetica"/>
                <w:color w:val="333333"/>
                <w:szCs w:val="21"/>
                <w:shd w:val="clear" w:color="auto" w:fill="FFFFFF"/>
              </w:rPr>
              <w:t>。</w:t>
            </w:r>
          </w:p>
          <w:p>
            <w:pPr>
              <w:spacing w:after="200" w:line="276" w:lineRule="auto"/>
              <w:contextualSpacing/>
              <w:rPr>
                <w:rFonts w:hint="eastAsia" w:ascii="Helvetica" w:hAnsi="Helvetica" w:eastAsia="宋体" w:cs="Helvetica"/>
                <w:color w:val="333333"/>
                <w:szCs w:val="21"/>
                <w:shd w:val="clear" w:color="auto" w:fill="FFFFFF"/>
                <w:lang w:eastAsia="zh-CN"/>
              </w:rPr>
            </w:pPr>
            <w:r>
              <w:rPr>
                <w:rFonts w:hint="eastAsia" w:ascii="Helvetica" w:hAnsi="Helvetica" w:cs="Helvetica"/>
                <w:color w:val="333333"/>
                <w:szCs w:val="21"/>
                <w:shd w:val="clear" w:color="auto" w:fill="FFFFFF"/>
                <w:lang w:val="en-US" w:eastAsia="zh-CN"/>
              </w:rPr>
              <w:t>10</w:t>
            </w:r>
            <w:r>
              <w:rPr>
                <w:rFonts w:hint="eastAsia" w:ascii="Helvetica" w:hAnsi="Helvetica" w:cs="Helvetica"/>
                <w:color w:val="333333"/>
                <w:szCs w:val="21"/>
                <w:shd w:val="clear" w:color="auto" w:fill="FFFFFF"/>
              </w:rPr>
              <w:t>、</w:t>
            </w:r>
            <w:r>
              <w:rPr>
                <w:rFonts w:ascii="Helvetica" w:hAnsi="Helvetica" w:cs="Helvetica"/>
                <w:color w:val="333333"/>
                <w:szCs w:val="21"/>
                <w:shd w:val="clear" w:color="auto" w:fill="FFFFFF"/>
              </w:rPr>
              <w:t>各项功能、参数及佐证文件必须逐个对应确认，并确保参数满足要求，否则视为无效，采购单位有权取消其中标资格</w:t>
            </w:r>
            <w:r>
              <w:rPr>
                <w:rFonts w:hint="eastAsia" w:ascii="Helvetica" w:hAnsi="Helvetica" w:cs="Helvetica"/>
                <w:color w:val="333333"/>
                <w:szCs w:val="21"/>
                <w:shd w:val="clear" w:color="auto" w:fill="FFFFFF"/>
                <w:lang w:eastAsia="zh-CN"/>
              </w:rPr>
              <w:t>。</w:t>
            </w:r>
          </w:p>
        </w:tc>
        <w:tc>
          <w:tcPr>
            <w:tcW w:w="1327" w:type="dxa"/>
            <w:vAlign w:val="center"/>
          </w:tcPr>
          <w:p>
            <w:pPr>
              <w:rPr>
                <w:rFonts w:ascii="华文楷体" w:hAnsi="华文楷体" w:eastAsia="华文楷体"/>
                <w:sz w:val="21"/>
                <w:szCs w:val="21"/>
              </w:rPr>
            </w:pPr>
          </w:p>
        </w:tc>
      </w:tr>
    </w:tbl>
    <w:p>
      <w:pPr>
        <w:pStyle w:val="6"/>
        <w:spacing w:before="0" w:beforeAutospacing="0" w:after="0" w:afterAutospacing="0"/>
        <w:ind w:firstLine="357"/>
        <w:rPr>
          <w:rFonts w:ascii="华文楷体" w:hAnsi="华文楷体" w:eastAsia="华文楷体"/>
          <w:sz w:val="21"/>
          <w:szCs w:val="21"/>
        </w:rPr>
      </w:pPr>
    </w:p>
    <w:p>
      <w:pPr>
        <w:pStyle w:val="6"/>
        <w:spacing w:before="0" w:beforeAutospacing="0" w:after="0" w:afterAutospacing="0"/>
        <w:ind w:firstLine="357"/>
        <w:rPr>
          <w:rFonts w:ascii="华文楷体" w:hAnsi="华文楷体" w:eastAsia="华文楷体"/>
          <w:sz w:val="21"/>
          <w:szCs w:val="21"/>
        </w:rPr>
      </w:pPr>
    </w:p>
    <w:p>
      <w:pPr>
        <w:pStyle w:val="6"/>
        <w:spacing w:before="0" w:beforeAutospacing="0" w:after="0" w:afterAutospacing="0"/>
        <w:ind w:firstLine="357"/>
        <w:rPr>
          <w:rFonts w:ascii="华文楷体" w:hAnsi="华文楷体" w:eastAsia="华文楷体"/>
          <w:sz w:val="21"/>
          <w:szCs w:val="21"/>
        </w:rPr>
      </w:pPr>
    </w:p>
    <w:p>
      <w:pPr>
        <w:pStyle w:val="6"/>
        <w:spacing w:before="0" w:beforeAutospacing="0" w:after="0" w:afterAutospacing="0"/>
        <w:ind w:firstLine="357"/>
        <w:rPr>
          <w:rFonts w:ascii="华文楷体" w:hAnsi="华文楷体" w:eastAsia="华文楷体"/>
          <w:sz w:val="21"/>
          <w:szCs w:val="21"/>
        </w:rPr>
      </w:pPr>
      <w:r>
        <w:rPr>
          <w:rFonts w:hint="eastAsia" w:ascii="华文楷体" w:hAnsi="华文楷体" w:eastAsia="华文楷体"/>
          <w:sz w:val="21"/>
          <w:szCs w:val="21"/>
        </w:rPr>
        <w:t>报价单位（盖章）：</w:t>
      </w:r>
      <w:r>
        <w:rPr>
          <w:rFonts w:ascii="华文楷体" w:hAnsi="华文楷体" w:eastAsia="华文楷体"/>
          <w:sz w:val="21"/>
          <w:szCs w:val="21"/>
        </w:rPr>
        <w:t xml:space="preserve"> </w:t>
      </w:r>
    </w:p>
    <w:p>
      <w:pPr>
        <w:pStyle w:val="6"/>
        <w:spacing w:before="0" w:beforeAutospacing="0" w:after="0" w:afterAutospacing="0"/>
        <w:ind w:firstLine="357"/>
        <w:rPr>
          <w:rFonts w:ascii="华文楷体" w:hAnsi="华文楷体" w:eastAsia="华文楷体"/>
          <w:sz w:val="21"/>
          <w:szCs w:val="21"/>
        </w:rPr>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r>
        <w:rPr>
          <w:rFonts w:hint="eastAsia"/>
        </w:rPr>
        <w:t>密封报价封条横版如下：</w:t>
      </w:r>
    </w:p>
    <w:p>
      <w:pPr>
        <w:pStyle w:val="6"/>
        <w:spacing w:before="0" w:beforeAutospacing="0" w:after="0" w:afterAutospacing="0"/>
        <w:ind w:firstLine="357"/>
      </w:pPr>
    </w:p>
    <w:tbl>
      <w:tblPr>
        <w:tblStyle w:val="2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4" w:type="dxa"/>
          </w:tcPr>
          <w:p>
            <w:pPr>
              <w:spacing w:after="160" w:line="259" w:lineRule="auto"/>
              <w:ind w:firstLine="721" w:firstLineChars="100"/>
              <w:rPr>
                <w:rFonts w:ascii="华文楷体" w:hAnsi="华文楷体" w:eastAsia="华文楷体" w:cs="宋体"/>
                <w:b/>
                <w:bCs/>
                <w:sz w:val="72"/>
                <w:szCs w:val="72"/>
              </w:rPr>
            </w:pP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pPr>
              <w:spacing w:after="160" w:line="259" w:lineRule="auto"/>
              <w:rPr>
                <w:rFonts w:ascii="华文楷体" w:hAnsi="华文楷体" w:eastAsia="华文楷体" w:cs="宋体"/>
                <w:b/>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4" w:type="dxa"/>
          </w:tcPr>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项目名称：</w:t>
            </w:r>
            <w:r>
              <w:rPr>
                <w:rFonts w:hint="eastAsia"/>
                <w:sz w:val="24"/>
                <w:szCs w:val="24"/>
              </w:rPr>
              <w:t>人文学院金竹校区学术报告厅电子屏幕</w:t>
            </w:r>
          </w:p>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tbl>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pPr>
      <w:r>
        <w:drawing>
          <wp:inline distT="0" distB="0" distL="0" distR="0">
            <wp:extent cx="5502910" cy="412115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506370" cy="4124142"/>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92021"/>
    <w:multiLevelType w:val="singleLevel"/>
    <w:tmpl w:val="30292021"/>
    <w:lvl w:ilvl="0" w:tentative="0">
      <w:start w:val="1"/>
      <w:numFmt w:val="decimal"/>
      <w:lvlText w:val="%1."/>
      <w:lvlJc w:val="left"/>
      <w:pPr>
        <w:ind w:left="425" w:hanging="425"/>
      </w:pPr>
      <w:rPr>
        <w:rFonts w:hint="default"/>
      </w:rPr>
    </w:lvl>
  </w:abstractNum>
  <w:abstractNum w:abstractNumId="1">
    <w:nsid w:val="3B695B8E"/>
    <w:multiLevelType w:val="multilevel"/>
    <w:tmpl w:val="3B695B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6931E4"/>
    <w:multiLevelType w:val="multilevel"/>
    <w:tmpl w:val="786931E4"/>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79"/>
    <w:rsid w:val="000137EF"/>
    <w:rsid w:val="0001672D"/>
    <w:rsid w:val="00037238"/>
    <w:rsid w:val="00041EFF"/>
    <w:rsid w:val="00044FF1"/>
    <w:rsid w:val="00062D15"/>
    <w:rsid w:val="00072E93"/>
    <w:rsid w:val="00080874"/>
    <w:rsid w:val="00082BA9"/>
    <w:rsid w:val="000844A8"/>
    <w:rsid w:val="000A440B"/>
    <w:rsid w:val="000A5BCC"/>
    <w:rsid w:val="000B0923"/>
    <w:rsid w:val="000B0F1B"/>
    <w:rsid w:val="000B2E55"/>
    <w:rsid w:val="000D0B42"/>
    <w:rsid w:val="000E1AB5"/>
    <w:rsid w:val="000E4B9B"/>
    <w:rsid w:val="000F7419"/>
    <w:rsid w:val="00102933"/>
    <w:rsid w:val="00122618"/>
    <w:rsid w:val="0013350A"/>
    <w:rsid w:val="00137536"/>
    <w:rsid w:val="00146183"/>
    <w:rsid w:val="001620F2"/>
    <w:rsid w:val="0017790B"/>
    <w:rsid w:val="0019321E"/>
    <w:rsid w:val="0019791D"/>
    <w:rsid w:val="001A052F"/>
    <w:rsid w:val="001C173E"/>
    <w:rsid w:val="001C4B84"/>
    <w:rsid w:val="001C6A07"/>
    <w:rsid w:val="002231BA"/>
    <w:rsid w:val="002375CB"/>
    <w:rsid w:val="00240397"/>
    <w:rsid w:val="002667C1"/>
    <w:rsid w:val="0027711A"/>
    <w:rsid w:val="00295FEE"/>
    <w:rsid w:val="002A0336"/>
    <w:rsid w:val="002D0EFB"/>
    <w:rsid w:val="002D0F2E"/>
    <w:rsid w:val="002F3107"/>
    <w:rsid w:val="002F5388"/>
    <w:rsid w:val="00303660"/>
    <w:rsid w:val="003228FF"/>
    <w:rsid w:val="00346AB5"/>
    <w:rsid w:val="00351F0B"/>
    <w:rsid w:val="00352A44"/>
    <w:rsid w:val="00354D02"/>
    <w:rsid w:val="00357FF4"/>
    <w:rsid w:val="00360A52"/>
    <w:rsid w:val="003639D4"/>
    <w:rsid w:val="00386120"/>
    <w:rsid w:val="003E03F1"/>
    <w:rsid w:val="003E3067"/>
    <w:rsid w:val="00411D54"/>
    <w:rsid w:val="0045592F"/>
    <w:rsid w:val="00462D9C"/>
    <w:rsid w:val="004648D9"/>
    <w:rsid w:val="00465A7C"/>
    <w:rsid w:val="00472D61"/>
    <w:rsid w:val="004973BF"/>
    <w:rsid w:val="004B55AB"/>
    <w:rsid w:val="004C0249"/>
    <w:rsid w:val="004C1D27"/>
    <w:rsid w:val="005506EC"/>
    <w:rsid w:val="0055750F"/>
    <w:rsid w:val="005670B1"/>
    <w:rsid w:val="00567179"/>
    <w:rsid w:val="00567582"/>
    <w:rsid w:val="005939A0"/>
    <w:rsid w:val="00595541"/>
    <w:rsid w:val="005A6AB0"/>
    <w:rsid w:val="005C506F"/>
    <w:rsid w:val="005E77D7"/>
    <w:rsid w:val="005F28FD"/>
    <w:rsid w:val="00612191"/>
    <w:rsid w:val="00614DC1"/>
    <w:rsid w:val="00630949"/>
    <w:rsid w:val="00634D33"/>
    <w:rsid w:val="006353FB"/>
    <w:rsid w:val="006578B6"/>
    <w:rsid w:val="0067639E"/>
    <w:rsid w:val="006779F6"/>
    <w:rsid w:val="006A4CB7"/>
    <w:rsid w:val="006B40DF"/>
    <w:rsid w:val="006D1297"/>
    <w:rsid w:val="00711A10"/>
    <w:rsid w:val="00735CB2"/>
    <w:rsid w:val="00741365"/>
    <w:rsid w:val="00754BE6"/>
    <w:rsid w:val="00762AB2"/>
    <w:rsid w:val="00765BC2"/>
    <w:rsid w:val="0078049B"/>
    <w:rsid w:val="007815FC"/>
    <w:rsid w:val="007A43AE"/>
    <w:rsid w:val="007B2CA5"/>
    <w:rsid w:val="007B388F"/>
    <w:rsid w:val="007E56BA"/>
    <w:rsid w:val="007E68A2"/>
    <w:rsid w:val="007F1BE2"/>
    <w:rsid w:val="007F2AF7"/>
    <w:rsid w:val="00800E3A"/>
    <w:rsid w:val="00802B54"/>
    <w:rsid w:val="00814740"/>
    <w:rsid w:val="00820C8E"/>
    <w:rsid w:val="00824F81"/>
    <w:rsid w:val="00831423"/>
    <w:rsid w:val="00832729"/>
    <w:rsid w:val="008352D1"/>
    <w:rsid w:val="00836082"/>
    <w:rsid w:val="00847F41"/>
    <w:rsid w:val="0088148A"/>
    <w:rsid w:val="00884D13"/>
    <w:rsid w:val="008A0E28"/>
    <w:rsid w:val="008A2FE2"/>
    <w:rsid w:val="008A4C1B"/>
    <w:rsid w:val="008B5497"/>
    <w:rsid w:val="008D3EAB"/>
    <w:rsid w:val="00900B46"/>
    <w:rsid w:val="00907FA3"/>
    <w:rsid w:val="009346FD"/>
    <w:rsid w:val="00934907"/>
    <w:rsid w:val="00965833"/>
    <w:rsid w:val="00970B35"/>
    <w:rsid w:val="00976B04"/>
    <w:rsid w:val="00991BD1"/>
    <w:rsid w:val="009D21A0"/>
    <w:rsid w:val="009D5857"/>
    <w:rsid w:val="009D71E8"/>
    <w:rsid w:val="009F5FC9"/>
    <w:rsid w:val="00A06D00"/>
    <w:rsid w:val="00A1332E"/>
    <w:rsid w:val="00A140E4"/>
    <w:rsid w:val="00A2494E"/>
    <w:rsid w:val="00A37421"/>
    <w:rsid w:val="00A56077"/>
    <w:rsid w:val="00A831CC"/>
    <w:rsid w:val="00A832F8"/>
    <w:rsid w:val="00A92DC8"/>
    <w:rsid w:val="00AC6C21"/>
    <w:rsid w:val="00AE771B"/>
    <w:rsid w:val="00AF269A"/>
    <w:rsid w:val="00AF7636"/>
    <w:rsid w:val="00B10BA4"/>
    <w:rsid w:val="00B24011"/>
    <w:rsid w:val="00B321D3"/>
    <w:rsid w:val="00B41DB0"/>
    <w:rsid w:val="00B422FB"/>
    <w:rsid w:val="00B47372"/>
    <w:rsid w:val="00B66C49"/>
    <w:rsid w:val="00B70E46"/>
    <w:rsid w:val="00B90D8B"/>
    <w:rsid w:val="00BA2F12"/>
    <w:rsid w:val="00BA3016"/>
    <w:rsid w:val="00BB7B8A"/>
    <w:rsid w:val="00BC3E46"/>
    <w:rsid w:val="00BD044B"/>
    <w:rsid w:val="00BE1D19"/>
    <w:rsid w:val="00BF2EDB"/>
    <w:rsid w:val="00C00048"/>
    <w:rsid w:val="00C3689E"/>
    <w:rsid w:val="00C37CCF"/>
    <w:rsid w:val="00C502F2"/>
    <w:rsid w:val="00C71A92"/>
    <w:rsid w:val="00C74D13"/>
    <w:rsid w:val="00C82D3E"/>
    <w:rsid w:val="00C87083"/>
    <w:rsid w:val="00C961A1"/>
    <w:rsid w:val="00CC4F82"/>
    <w:rsid w:val="00D218D8"/>
    <w:rsid w:val="00D33E4F"/>
    <w:rsid w:val="00D35240"/>
    <w:rsid w:val="00D61F3E"/>
    <w:rsid w:val="00D64431"/>
    <w:rsid w:val="00D73E76"/>
    <w:rsid w:val="00D7748E"/>
    <w:rsid w:val="00D84996"/>
    <w:rsid w:val="00D878F6"/>
    <w:rsid w:val="00DC6698"/>
    <w:rsid w:val="00DD1469"/>
    <w:rsid w:val="00DD4A78"/>
    <w:rsid w:val="00DD5C6C"/>
    <w:rsid w:val="00DE2436"/>
    <w:rsid w:val="00DE6370"/>
    <w:rsid w:val="00DF288C"/>
    <w:rsid w:val="00DF2D18"/>
    <w:rsid w:val="00E00750"/>
    <w:rsid w:val="00E16454"/>
    <w:rsid w:val="00E21FBE"/>
    <w:rsid w:val="00E26DC6"/>
    <w:rsid w:val="00E30924"/>
    <w:rsid w:val="00E3696D"/>
    <w:rsid w:val="00E45A68"/>
    <w:rsid w:val="00E5235C"/>
    <w:rsid w:val="00E52DDE"/>
    <w:rsid w:val="00E61671"/>
    <w:rsid w:val="00E61DF2"/>
    <w:rsid w:val="00E67C2D"/>
    <w:rsid w:val="00E753E4"/>
    <w:rsid w:val="00E816D4"/>
    <w:rsid w:val="00EA4D25"/>
    <w:rsid w:val="00EC49F3"/>
    <w:rsid w:val="00EC4AD0"/>
    <w:rsid w:val="00EC5A56"/>
    <w:rsid w:val="00ED6D42"/>
    <w:rsid w:val="00EF7EF2"/>
    <w:rsid w:val="00F03054"/>
    <w:rsid w:val="00F31B14"/>
    <w:rsid w:val="00F3241B"/>
    <w:rsid w:val="00F42168"/>
    <w:rsid w:val="00F430EC"/>
    <w:rsid w:val="00F52A3E"/>
    <w:rsid w:val="00F646D5"/>
    <w:rsid w:val="00F73624"/>
    <w:rsid w:val="00F811A7"/>
    <w:rsid w:val="00F86DD9"/>
    <w:rsid w:val="00F96002"/>
    <w:rsid w:val="00F96BFC"/>
    <w:rsid w:val="00FA1516"/>
    <w:rsid w:val="00FA6305"/>
    <w:rsid w:val="00FA6C38"/>
    <w:rsid w:val="00FD6AA6"/>
    <w:rsid w:val="27CC2BDC"/>
    <w:rsid w:val="2C844B41"/>
    <w:rsid w:val="3DB10CF9"/>
    <w:rsid w:val="410D137C"/>
    <w:rsid w:val="42636414"/>
    <w:rsid w:val="45065E76"/>
    <w:rsid w:val="486C40FD"/>
    <w:rsid w:val="4E030767"/>
    <w:rsid w:val="6AB34B99"/>
    <w:rsid w:val="759E2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spacing w:line="533" w:lineRule="auto"/>
      <w:ind w:left="840" w:right="-120"/>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0"/>
    <w:pPr>
      <w:tabs>
        <w:tab w:val="center" w:pos="4153"/>
        <w:tab w:val="right" w:pos="8306"/>
      </w:tabs>
      <w:snapToGrid w:val="0"/>
    </w:pPr>
    <w:rPr>
      <w:sz w:val="18"/>
      <w:szCs w:val="18"/>
    </w:rPr>
  </w:style>
  <w:style w:type="paragraph" w:styleId="5">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rPr>
      <w:rFonts w:ascii="宋体" w:hAnsi="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bCs/>
    </w:rPr>
  </w:style>
  <w:style w:type="character" w:styleId="11">
    <w:name w:val="Emphasis"/>
    <w:qFormat/>
    <w:uiPriority w:val="0"/>
    <w:rPr>
      <w:rFonts w:ascii="Arial" w:hAnsi="Arial"/>
      <w:b/>
      <w:spacing w:val="-10"/>
      <w:sz w:val="18"/>
      <w:lang w:eastAsia="zh-CN"/>
    </w:rPr>
  </w:style>
  <w:style w:type="character" w:customStyle="1" w:styleId="12">
    <w:name w:val="正文文本 字符"/>
    <w:basedOn w:val="9"/>
    <w:link w:val="2"/>
    <w:qFormat/>
    <w:uiPriority w:val="0"/>
    <w:rPr>
      <w:rFonts w:ascii="Times New Roman" w:hAnsi="Times New Roman" w:eastAsia="宋体" w:cs="Times New Roman"/>
      <w:kern w:val="0"/>
      <w:sz w:val="20"/>
      <w:szCs w:val="20"/>
    </w:rPr>
  </w:style>
  <w:style w:type="character" w:customStyle="1" w:styleId="13">
    <w:name w:val="消息标题标签"/>
    <w:qFormat/>
    <w:uiPriority w:val="0"/>
    <w:rPr>
      <w:rFonts w:ascii="Arial" w:hAnsi="Arial"/>
      <w:b/>
      <w:spacing w:val="-4"/>
      <w:sz w:val="18"/>
      <w:lang w:eastAsia="zh-CN"/>
    </w:rPr>
  </w:style>
  <w:style w:type="paragraph" w:customStyle="1" w:styleId="14">
    <w:name w:val="传真标题"/>
    <w:basedOn w:val="1"/>
    <w:qFormat/>
    <w:uiPriority w:val="0"/>
    <w:pPr>
      <w:spacing w:before="240" w:after="60"/>
    </w:pPr>
  </w:style>
  <w:style w:type="paragraph" w:customStyle="1" w:styleId="15">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6">
    <w:name w:val="批注框文本 字符"/>
    <w:basedOn w:val="9"/>
    <w:link w:val="3"/>
    <w:semiHidden/>
    <w:qFormat/>
    <w:uiPriority w:val="99"/>
    <w:rPr>
      <w:rFonts w:ascii="Times New Roman" w:hAnsi="Times New Roman" w:eastAsia="宋体" w:cs="Times New Roman"/>
      <w:kern w:val="0"/>
      <w:sz w:val="18"/>
      <w:szCs w:val="18"/>
    </w:rPr>
  </w:style>
  <w:style w:type="character" w:customStyle="1" w:styleId="17">
    <w:name w:val="页眉 字符"/>
    <w:basedOn w:val="9"/>
    <w:link w:val="5"/>
    <w:qFormat/>
    <w:uiPriority w:val="0"/>
    <w:rPr>
      <w:rFonts w:ascii="Times New Roman" w:hAnsi="Times New Roman" w:eastAsia="宋体" w:cs="Times New Roman"/>
      <w:kern w:val="0"/>
      <w:sz w:val="18"/>
      <w:szCs w:val="18"/>
    </w:rPr>
  </w:style>
  <w:style w:type="character" w:customStyle="1" w:styleId="18">
    <w:name w:val="页脚 字符"/>
    <w:basedOn w:val="9"/>
    <w:link w:val="4"/>
    <w:qFormat/>
    <w:uiPriority w:val="0"/>
    <w:rPr>
      <w:rFonts w:ascii="Times New Roman" w:hAnsi="Times New Roman" w:eastAsia="宋体" w:cs="Times New Roman"/>
      <w:kern w:val="0"/>
      <w:sz w:val="18"/>
      <w:szCs w:val="18"/>
    </w:rPr>
  </w:style>
  <w:style w:type="paragraph" w:styleId="19">
    <w:name w:val="List Paragraph"/>
    <w:basedOn w:val="1"/>
    <w:qFormat/>
    <w:uiPriority w:val="34"/>
    <w:pPr>
      <w:ind w:firstLine="420" w:firstLineChars="200"/>
    </w:pPr>
  </w:style>
  <w:style w:type="table" w:customStyle="1" w:styleId="20">
    <w:name w:val="网格型1"/>
    <w:basedOn w:val="7"/>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528BC-24A3-418C-979A-EC835D09B60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810</Words>
  <Characters>4620</Characters>
  <Lines>38</Lines>
  <Paragraphs>10</Paragraphs>
  <TotalTime>4</TotalTime>
  <ScaleCrop>false</ScaleCrop>
  <LinksUpToDate>false</LinksUpToDate>
  <CharactersWithSpaces>5420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2022-03-23T05:08:00Z</dcterms:created>
  <dc:creator>微软用户</dc:creator>
  <cp:lastModifiedBy>sc416</cp:lastModifiedBy>
  <cp:lastPrinted>2020-09-24T08:21:00Z</cp:lastPrinted>
  <dcterms:modified xsi:type="dcterms:W3CDTF">2022-03-24T03:24:45Z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3092737EBA1F41B1A4A4CA4224711AB2</vt:lpwstr>
  </property>
</Properties>
</file>