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500" w:lineRule="atLeast"/>
        <w:jc w:val="center"/>
        <w:textAlignment w:val="bottom"/>
        <w:rPr>
          <w:rFonts w:hint="eastAsia" w:ascii="宋体" w:hAnsi="宋体" w:eastAsia="宋体" w:cs="宋体"/>
          <w:b/>
          <w:bCs/>
          <w:color w:val="000000" w:themeColor="text1"/>
          <w:spacing w:val="120"/>
          <w:sz w:val="72"/>
          <w:szCs w:val="72"/>
          <w:highlight w:val="none"/>
          <w14:textFill>
            <w14:solidFill>
              <w14:schemeClr w14:val="tx1"/>
            </w14:solidFill>
          </w14:textFill>
        </w:rPr>
      </w:pPr>
    </w:p>
    <w:p>
      <w:pPr>
        <w:autoSpaceDE w:val="0"/>
        <w:autoSpaceDN w:val="0"/>
        <w:spacing w:line="500" w:lineRule="atLeast"/>
        <w:jc w:val="distribute"/>
        <w:textAlignment w:val="bottom"/>
        <w:rPr>
          <w:rFonts w:hint="eastAsia" w:ascii="宋体" w:hAnsi="宋体" w:eastAsia="宋体" w:cs="宋体"/>
          <w:bCs/>
          <w:color w:val="000000" w:themeColor="text1"/>
          <w:sz w:val="84"/>
          <w:szCs w:val="84"/>
          <w:highlight w:val="none"/>
          <w14:textFill>
            <w14:solidFill>
              <w14:schemeClr w14:val="tx1"/>
            </w14:solidFill>
          </w14:textFill>
        </w:rPr>
      </w:pPr>
      <w:r>
        <w:rPr>
          <w:rFonts w:hint="eastAsia" w:ascii="宋体" w:hAnsi="宋体" w:eastAsia="宋体" w:cs="宋体"/>
          <w:b/>
          <w:bCs/>
          <w:color w:val="000000" w:themeColor="text1"/>
          <w:spacing w:val="0"/>
          <w:sz w:val="84"/>
          <w:szCs w:val="84"/>
          <w:highlight w:val="none"/>
          <w14:textFill>
            <w14:solidFill>
              <w14:schemeClr w14:val="tx1"/>
            </w14:solidFill>
          </w14:textFill>
        </w:rPr>
        <w:t>温州市国有企业</w:t>
      </w:r>
    </w:p>
    <w:p>
      <w:pPr>
        <w:spacing w:line="400" w:lineRule="atLeast"/>
        <w:jc w:val="center"/>
        <w:rPr>
          <w:rFonts w:hint="eastAsia" w:ascii="宋体" w:hAnsi="宋体" w:eastAsia="宋体" w:cs="宋体"/>
          <w:b/>
          <w:color w:val="000000" w:themeColor="text1"/>
          <w:sz w:val="52"/>
          <w:highlight w:val="none"/>
          <w14:textFill>
            <w14:solidFill>
              <w14:schemeClr w14:val="tx1"/>
            </w14:solidFill>
          </w14:textFill>
        </w:rPr>
      </w:pPr>
    </w:p>
    <w:p>
      <w:pPr>
        <w:spacing w:line="400" w:lineRule="atLeast"/>
        <w:jc w:val="center"/>
        <w:rPr>
          <w:rFonts w:hint="eastAsia" w:ascii="宋体" w:hAnsi="宋体" w:eastAsia="宋体" w:cs="宋体"/>
          <w:b/>
          <w:color w:val="000000" w:themeColor="text1"/>
          <w:sz w:val="52"/>
          <w:highlight w:val="none"/>
          <w14:textFill>
            <w14:solidFill>
              <w14:schemeClr w14:val="tx1"/>
            </w14:solidFill>
          </w14:textFill>
        </w:rPr>
      </w:pPr>
    </w:p>
    <w:p>
      <w:pPr>
        <w:spacing w:line="400" w:lineRule="atLeast"/>
        <w:jc w:val="center"/>
        <w:rPr>
          <w:rFonts w:hint="eastAsia" w:ascii="宋体" w:hAnsi="宋体" w:eastAsia="宋体" w:cs="宋体"/>
          <w:b/>
          <w:color w:val="000000" w:themeColor="text1"/>
          <w:sz w:val="52"/>
          <w:highlight w:val="none"/>
          <w14:textFill>
            <w14:solidFill>
              <w14:schemeClr w14:val="tx1"/>
            </w14:solidFill>
          </w14:textFill>
        </w:rPr>
      </w:pPr>
    </w:p>
    <w:p>
      <w:pPr>
        <w:autoSpaceDE w:val="0"/>
        <w:autoSpaceDN w:val="0"/>
        <w:spacing w:line="500" w:lineRule="atLeast"/>
        <w:jc w:val="center"/>
        <w:textAlignment w:val="bottom"/>
        <w:rPr>
          <w:rFonts w:hint="eastAsia" w:ascii="宋体" w:hAnsi="宋体" w:eastAsia="宋体" w:cs="宋体"/>
          <w:b/>
          <w:color w:val="000000" w:themeColor="text1"/>
          <w:sz w:val="72"/>
          <w:szCs w:val="72"/>
          <w:highlight w:val="none"/>
          <w14:textFill>
            <w14:solidFill>
              <w14:schemeClr w14:val="tx1"/>
            </w14:solidFill>
          </w14:textFill>
        </w:rPr>
      </w:pPr>
      <w:r>
        <w:rPr>
          <w:rFonts w:hint="eastAsia" w:ascii="宋体" w:hAnsi="宋体" w:eastAsia="宋体" w:cs="宋体"/>
          <w:b/>
          <w:bCs/>
          <w:color w:val="000000" w:themeColor="text1"/>
          <w:sz w:val="72"/>
          <w:szCs w:val="72"/>
          <w:highlight w:val="none"/>
          <w14:textFill>
            <w14:solidFill>
              <w14:schemeClr w14:val="tx1"/>
            </w14:solidFill>
          </w14:textFill>
        </w:rPr>
        <w:t>采 购 文 件</w:t>
      </w:r>
    </w:p>
    <w:p>
      <w:pPr>
        <w:spacing w:line="400" w:lineRule="atLeast"/>
        <w:jc w:val="center"/>
        <w:rPr>
          <w:rFonts w:hint="eastAsia" w:ascii="宋体" w:hAnsi="宋体" w:eastAsia="宋体" w:cs="宋体"/>
          <w:b/>
          <w:color w:val="000000" w:themeColor="text1"/>
          <w:sz w:val="32"/>
          <w:highlight w:val="none"/>
          <w14:textFill>
            <w14:solidFill>
              <w14:schemeClr w14:val="tx1"/>
            </w14:solidFill>
          </w14:textFill>
        </w:rPr>
      </w:pPr>
    </w:p>
    <w:p>
      <w:pPr>
        <w:jc w:val="center"/>
        <w:rPr>
          <w:rFonts w:hint="eastAsia" w:ascii="宋体" w:hAnsi="宋体" w:eastAsia="宋体" w:cs="宋体"/>
          <w:b/>
          <w:bCs/>
          <w:color w:val="000000" w:themeColor="text1"/>
          <w:sz w:val="24"/>
          <w:highlight w:val="none"/>
          <w14:textFill>
            <w14:solidFill>
              <w14:schemeClr w14:val="tx1"/>
            </w14:solidFill>
          </w14:textFill>
        </w:rPr>
      </w:pPr>
    </w:p>
    <w:p>
      <w:pPr>
        <w:jc w:val="center"/>
        <w:rPr>
          <w:rFonts w:hint="eastAsia" w:ascii="宋体" w:hAnsi="宋体" w:eastAsia="宋体" w:cs="宋体"/>
          <w:b/>
          <w:bCs/>
          <w:color w:val="000000" w:themeColor="text1"/>
          <w:sz w:val="24"/>
          <w:highlight w:val="none"/>
          <w14:textFill>
            <w14:solidFill>
              <w14:schemeClr w14:val="tx1"/>
            </w14:solidFill>
          </w14:textFill>
        </w:rPr>
      </w:pPr>
    </w:p>
    <w:p>
      <w:pPr>
        <w:jc w:val="center"/>
        <w:rPr>
          <w:rFonts w:hint="eastAsia" w:ascii="宋体" w:hAnsi="宋体" w:eastAsia="宋体" w:cs="宋体"/>
          <w:b/>
          <w:bCs/>
          <w:color w:val="000000" w:themeColor="text1"/>
          <w:sz w:val="24"/>
          <w:highlight w:val="none"/>
          <w14:textFill>
            <w14:solidFill>
              <w14:schemeClr w14:val="tx1"/>
            </w14:solidFill>
          </w14:textFill>
        </w:rPr>
      </w:pPr>
    </w:p>
    <w:p>
      <w:pPr>
        <w:jc w:val="center"/>
        <w:rPr>
          <w:rFonts w:hint="eastAsia" w:ascii="宋体" w:hAnsi="宋体" w:eastAsia="宋体" w:cs="宋体"/>
          <w:b/>
          <w:bCs/>
          <w:color w:val="000000" w:themeColor="text1"/>
          <w:sz w:val="24"/>
          <w:highlight w:val="none"/>
          <w14:textFill>
            <w14:solidFill>
              <w14:schemeClr w14:val="tx1"/>
            </w14:solidFill>
          </w14:textFill>
        </w:rPr>
      </w:pPr>
    </w:p>
    <w:p>
      <w:pPr>
        <w:spacing w:line="600" w:lineRule="exact"/>
        <w:ind w:firstLine="2244" w:firstLineChars="745"/>
        <w:rPr>
          <w:rFonts w:hint="eastAsia" w:ascii="宋体" w:hAnsi="宋体" w:eastAsia="宋体" w:cs="宋体"/>
          <w:b/>
          <w:color w:val="000000" w:themeColor="text1"/>
          <w:sz w:val="30"/>
          <w:szCs w:val="30"/>
          <w:highlight w:val="none"/>
          <w:lang w:eastAsia="zh-CN"/>
          <w14:textFill>
            <w14:solidFill>
              <w14:schemeClr w14:val="tx1"/>
            </w14:solidFill>
          </w14:textFill>
        </w:rPr>
      </w:pPr>
      <w:r>
        <w:rPr>
          <w:rFonts w:hint="eastAsia" w:ascii="宋体" w:hAnsi="宋体" w:eastAsia="宋体" w:cs="宋体"/>
          <w:b/>
          <w:color w:val="000000" w:themeColor="text1"/>
          <w:sz w:val="30"/>
          <w:szCs w:val="30"/>
          <w:highlight w:val="none"/>
          <w:lang w:eastAsia="zh-CN"/>
          <w14:textFill>
            <w14:solidFill>
              <w14:schemeClr w14:val="tx1"/>
            </w14:solidFill>
          </w14:textFill>
        </w:rPr>
        <w:t>项目编号</w:t>
      </w:r>
      <w:r>
        <w:rPr>
          <w:rFonts w:hint="eastAsia" w:ascii="宋体" w:hAnsi="宋体" w:eastAsia="宋体" w:cs="宋体"/>
          <w:b/>
          <w:color w:val="000000" w:themeColor="text1"/>
          <w:sz w:val="30"/>
          <w:szCs w:val="30"/>
          <w:highlight w:val="none"/>
          <w14:textFill>
            <w14:solidFill>
              <w14:schemeClr w14:val="tx1"/>
            </w14:solidFill>
          </w14:textFill>
        </w:rPr>
        <w:t>：</w:t>
      </w:r>
      <w:r>
        <w:rPr>
          <w:rFonts w:hint="eastAsia" w:ascii="宋体" w:hAnsi="宋体" w:eastAsia="宋体" w:cs="宋体"/>
          <w:b/>
          <w:color w:val="000000" w:themeColor="text1"/>
          <w:sz w:val="30"/>
          <w:szCs w:val="30"/>
          <w:highlight w:val="none"/>
          <w:lang w:eastAsia="zh-CN"/>
          <w14:textFill>
            <w14:solidFill>
              <w14:schemeClr w14:val="tx1"/>
            </w14:solidFill>
          </w14:textFill>
        </w:rPr>
        <w:t>WGSS-XDJT-Z-2022083</w:t>
      </w:r>
    </w:p>
    <w:p>
      <w:pPr>
        <w:spacing w:line="600" w:lineRule="exact"/>
        <w:ind w:firstLine="2244" w:firstLineChars="745"/>
        <w:rPr>
          <w:rFonts w:hint="eastAsia" w:ascii="宋体" w:hAnsi="宋体" w:eastAsia="宋体" w:cs="宋体"/>
          <w:b/>
          <w:color w:val="000000" w:themeColor="text1"/>
          <w:sz w:val="30"/>
          <w:szCs w:val="30"/>
          <w:highlight w:val="none"/>
          <w:lang w:eastAsia="zh-CN"/>
          <w14:textFill>
            <w14:solidFill>
              <w14:schemeClr w14:val="tx1"/>
            </w14:solidFill>
          </w14:textFill>
        </w:rPr>
      </w:pPr>
      <w:r>
        <w:rPr>
          <w:rFonts w:hint="eastAsia" w:ascii="宋体" w:hAnsi="宋体" w:eastAsia="宋体" w:cs="宋体"/>
          <w:b/>
          <w:color w:val="000000" w:themeColor="text1"/>
          <w:sz w:val="30"/>
          <w:szCs w:val="30"/>
          <w:highlight w:val="none"/>
          <w:lang w:eastAsia="zh-CN"/>
          <w14:textFill>
            <w14:solidFill>
              <w14:schemeClr w14:val="tx1"/>
            </w14:solidFill>
          </w14:textFill>
        </w:rPr>
        <w:t>项目名称</w:t>
      </w:r>
      <w:r>
        <w:rPr>
          <w:rFonts w:hint="eastAsia" w:ascii="宋体" w:hAnsi="宋体" w:eastAsia="宋体" w:cs="宋体"/>
          <w:b/>
          <w:color w:val="000000" w:themeColor="text1"/>
          <w:sz w:val="30"/>
          <w:szCs w:val="30"/>
          <w:highlight w:val="none"/>
          <w14:textFill>
            <w14:solidFill>
              <w14:schemeClr w14:val="tx1"/>
            </w14:solidFill>
          </w14:textFill>
        </w:rPr>
        <w:t>：</w:t>
      </w:r>
      <w:r>
        <w:rPr>
          <w:rFonts w:hint="eastAsia" w:ascii="宋体" w:hAnsi="宋体" w:eastAsia="宋体" w:cs="宋体"/>
          <w:b/>
          <w:color w:val="000000" w:themeColor="text1"/>
          <w:sz w:val="30"/>
          <w:szCs w:val="30"/>
          <w:highlight w:val="none"/>
          <w:lang w:eastAsia="zh-CN"/>
          <w14:textFill>
            <w14:solidFill>
              <w14:schemeClr w14:val="tx1"/>
            </w14:solidFill>
          </w14:textFill>
        </w:rPr>
        <w:t>标准化考场网上巡查系统改建</w:t>
      </w:r>
    </w:p>
    <w:p>
      <w:pPr>
        <w:spacing w:line="600" w:lineRule="exact"/>
        <w:ind w:firstLine="2244" w:firstLineChars="745"/>
        <w:rPr>
          <w:rFonts w:hint="eastAsia" w:ascii="宋体" w:hAnsi="宋体" w:eastAsia="宋体" w:cs="宋体"/>
          <w:b/>
          <w:color w:val="000000" w:themeColor="text1"/>
          <w:sz w:val="30"/>
          <w:szCs w:val="30"/>
          <w:highlight w:val="none"/>
          <w14:textFill>
            <w14:solidFill>
              <w14:schemeClr w14:val="tx1"/>
            </w14:solidFill>
          </w14:textFill>
        </w:rPr>
      </w:pPr>
      <w:r>
        <w:rPr>
          <w:rFonts w:hint="eastAsia" w:ascii="宋体" w:hAnsi="宋体" w:eastAsia="宋体" w:cs="宋体"/>
          <w:b/>
          <w:color w:val="000000" w:themeColor="text1"/>
          <w:sz w:val="30"/>
          <w:szCs w:val="30"/>
          <w:highlight w:val="none"/>
          <w14:textFill>
            <w14:solidFill>
              <w14:schemeClr w14:val="tx1"/>
            </w14:solidFill>
          </w14:textFill>
        </w:rPr>
        <w:t>采购方式：单一来源</w:t>
      </w:r>
    </w:p>
    <w:p>
      <w:pPr>
        <w:jc w:val="center"/>
        <w:rPr>
          <w:rFonts w:hint="eastAsia" w:ascii="宋体" w:hAnsi="宋体" w:eastAsia="宋体" w:cs="宋体"/>
          <w:b/>
          <w:bCs/>
          <w:color w:val="000000" w:themeColor="text1"/>
          <w:sz w:val="24"/>
          <w:highlight w:val="none"/>
          <w14:textFill>
            <w14:solidFill>
              <w14:schemeClr w14:val="tx1"/>
            </w14:solidFill>
          </w14:textFill>
        </w:rPr>
      </w:pPr>
    </w:p>
    <w:p>
      <w:pPr>
        <w:jc w:val="center"/>
        <w:rPr>
          <w:rFonts w:hint="eastAsia" w:ascii="宋体" w:hAnsi="宋体" w:eastAsia="宋体" w:cs="宋体"/>
          <w:b/>
          <w:bCs/>
          <w:color w:val="000000" w:themeColor="text1"/>
          <w:sz w:val="24"/>
          <w:highlight w:val="none"/>
          <w14:textFill>
            <w14:solidFill>
              <w14:schemeClr w14:val="tx1"/>
            </w14:solidFill>
          </w14:textFill>
        </w:rPr>
      </w:pPr>
    </w:p>
    <w:p>
      <w:pPr>
        <w:jc w:val="center"/>
        <w:rPr>
          <w:rFonts w:hint="eastAsia" w:ascii="宋体" w:hAnsi="宋体" w:eastAsia="宋体" w:cs="宋体"/>
          <w:b/>
          <w:bCs/>
          <w:color w:val="000000" w:themeColor="text1"/>
          <w:sz w:val="24"/>
          <w:highlight w:val="none"/>
          <w14:textFill>
            <w14:solidFill>
              <w14:schemeClr w14:val="tx1"/>
            </w14:solidFill>
          </w14:textFill>
        </w:rPr>
      </w:pPr>
    </w:p>
    <w:p>
      <w:pPr>
        <w:jc w:val="center"/>
        <w:rPr>
          <w:rFonts w:hint="eastAsia" w:ascii="宋体" w:hAnsi="宋体" w:eastAsia="宋体" w:cs="宋体"/>
          <w:b/>
          <w:bCs/>
          <w:color w:val="000000" w:themeColor="text1"/>
          <w:sz w:val="24"/>
          <w:highlight w:val="none"/>
          <w14:textFill>
            <w14:solidFill>
              <w14:schemeClr w14:val="tx1"/>
            </w14:solidFill>
          </w14:textFill>
        </w:rPr>
      </w:pPr>
    </w:p>
    <w:p>
      <w:pPr>
        <w:jc w:val="center"/>
        <w:rPr>
          <w:rFonts w:hint="eastAsia" w:ascii="宋体" w:hAnsi="宋体" w:eastAsia="宋体" w:cs="宋体"/>
          <w:b/>
          <w:bCs/>
          <w:color w:val="000000" w:themeColor="text1"/>
          <w:sz w:val="24"/>
          <w:highlight w:val="none"/>
          <w14:textFill>
            <w14:solidFill>
              <w14:schemeClr w14:val="tx1"/>
            </w14:solidFill>
          </w14:textFill>
        </w:rPr>
      </w:pPr>
    </w:p>
    <w:p>
      <w:pPr>
        <w:spacing w:line="600" w:lineRule="exact"/>
        <w:rPr>
          <w:rFonts w:hint="eastAsia" w:ascii="宋体" w:hAnsi="宋体" w:eastAsia="宋体" w:cs="宋体"/>
          <w:b/>
          <w:color w:val="000000" w:themeColor="text1"/>
          <w:sz w:val="30"/>
          <w:szCs w:val="30"/>
          <w:highlight w:val="none"/>
          <w14:textFill>
            <w14:solidFill>
              <w14:schemeClr w14:val="tx1"/>
            </w14:solidFill>
          </w14:textFill>
        </w:rPr>
      </w:pPr>
    </w:p>
    <w:p>
      <w:pPr>
        <w:spacing w:line="600" w:lineRule="exact"/>
        <w:ind w:firstLine="2268" w:firstLineChars="753"/>
        <w:rPr>
          <w:rFonts w:hint="eastAsia" w:ascii="宋体" w:hAnsi="宋体" w:eastAsia="宋体" w:cs="宋体"/>
          <w:b/>
          <w:color w:val="000000" w:themeColor="text1"/>
          <w:sz w:val="30"/>
          <w:szCs w:val="30"/>
          <w:highlight w:val="none"/>
          <w:lang w:eastAsia="zh-CN"/>
          <w14:textFill>
            <w14:solidFill>
              <w14:schemeClr w14:val="tx1"/>
            </w14:solidFill>
          </w14:textFill>
        </w:rPr>
      </w:pPr>
      <w:r>
        <w:rPr>
          <w:rFonts w:hint="eastAsia" w:ascii="宋体" w:hAnsi="宋体" w:eastAsia="宋体" w:cs="宋体"/>
          <w:b/>
          <w:color w:val="000000" w:themeColor="text1"/>
          <w:sz w:val="30"/>
          <w:szCs w:val="30"/>
          <w:highlight w:val="none"/>
          <w14:textFill>
            <w14:solidFill>
              <w14:schemeClr w14:val="tx1"/>
            </w14:solidFill>
          </w14:textFill>
        </w:rPr>
        <w:t>采购人：</w:t>
      </w:r>
      <w:r>
        <w:rPr>
          <w:rFonts w:hint="eastAsia" w:ascii="宋体" w:hAnsi="宋体" w:eastAsia="宋体" w:cs="宋体"/>
          <w:b/>
          <w:color w:val="000000" w:themeColor="text1"/>
          <w:sz w:val="30"/>
          <w:szCs w:val="30"/>
          <w:highlight w:val="none"/>
          <w:lang w:eastAsia="zh-CN"/>
          <w14:textFill>
            <w14:solidFill>
              <w14:schemeClr w14:val="tx1"/>
            </w14:solidFill>
          </w14:textFill>
        </w:rPr>
        <w:t>浙江东方职业技术学院</w:t>
      </w:r>
    </w:p>
    <w:p>
      <w:pPr>
        <w:spacing w:line="600" w:lineRule="exact"/>
        <w:ind w:firstLine="2244" w:firstLineChars="745"/>
        <w:rPr>
          <w:rFonts w:hint="eastAsia" w:ascii="宋体" w:hAnsi="宋体" w:eastAsia="宋体" w:cs="宋体"/>
          <w:b/>
          <w:color w:val="000000" w:themeColor="text1"/>
          <w:spacing w:val="12"/>
          <w:sz w:val="30"/>
          <w:szCs w:val="30"/>
          <w:highlight w:val="none"/>
          <w14:textFill>
            <w14:solidFill>
              <w14:schemeClr w14:val="tx1"/>
            </w14:solidFill>
          </w14:textFill>
        </w:rPr>
      </w:pPr>
      <w:r>
        <w:rPr>
          <w:rFonts w:hint="eastAsia" w:ascii="宋体" w:hAnsi="宋体" w:eastAsia="宋体" w:cs="宋体"/>
          <w:b/>
          <w:color w:val="000000" w:themeColor="text1"/>
          <w:sz w:val="30"/>
          <w:szCs w:val="30"/>
          <w:highlight w:val="none"/>
          <w14:textFill>
            <w14:solidFill>
              <w14:schemeClr w14:val="tx1"/>
            </w14:solidFill>
          </w14:textFill>
        </w:rPr>
        <w:t>采购代理：</w:t>
      </w:r>
      <w:r>
        <w:rPr>
          <w:rFonts w:hint="eastAsia" w:ascii="宋体" w:hAnsi="宋体" w:eastAsia="宋体" w:cs="宋体"/>
          <w:b/>
          <w:color w:val="000000" w:themeColor="text1"/>
          <w:spacing w:val="12"/>
          <w:sz w:val="30"/>
          <w:szCs w:val="30"/>
          <w:highlight w:val="none"/>
          <w14:textFill>
            <w14:solidFill>
              <w14:schemeClr w14:val="tx1"/>
            </w14:solidFill>
          </w14:textFill>
        </w:rPr>
        <w:t>浙江创嘉项目管理有限公司</w:t>
      </w:r>
    </w:p>
    <w:p>
      <w:pPr>
        <w:spacing w:line="600" w:lineRule="exact"/>
        <w:ind w:firstLine="1437" w:firstLineChars="377"/>
        <w:jc w:val="center"/>
        <w:rPr>
          <w:rFonts w:hint="eastAsia" w:ascii="宋体" w:hAnsi="宋体" w:eastAsia="宋体" w:cs="宋体"/>
          <w:b/>
          <w:color w:val="000000" w:themeColor="text1"/>
          <w:spacing w:val="40"/>
          <w:sz w:val="30"/>
          <w:szCs w:val="30"/>
          <w:highlight w:val="none"/>
          <w14:textFill>
            <w14:solidFill>
              <w14:schemeClr w14:val="tx1"/>
            </w14:solidFill>
          </w14:textFill>
        </w:rPr>
      </w:pPr>
    </w:p>
    <w:p>
      <w:pPr>
        <w:spacing w:line="600" w:lineRule="exact"/>
        <w:jc w:val="center"/>
        <w:rPr>
          <w:rFonts w:hint="eastAsia" w:ascii="宋体" w:hAnsi="宋体" w:eastAsia="宋体" w:cs="宋体"/>
          <w:b/>
          <w:color w:val="000000" w:themeColor="text1"/>
          <w:spacing w:val="40"/>
          <w:sz w:val="30"/>
          <w:szCs w:val="30"/>
          <w:highlight w:val="none"/>
          <w14:textFill>
            <w14:solidFill>
              <w14:schemeClr w14:val="tx1"/>
            </w14:solidFill>
          </w14:textFill>
        </w:rPr>
      </w:pPr>
      <w:r>
        <w:rPr>
          <w:rFonts w:hint="eastAsia" w:ascii="宋体" w:hAnsi="宋体" w:eastAsia="宋体" w:cs="宋体"/>
          <w:b/>
          <w:color w:val="000000" w:themeColor="text1"/>
          <w:spacing w:val="40"/>
          <w:sz w:val="30"/>
          <w:szCs w:val="30"/>
          <w:highlight w:val="none"/>
          <w14:textFill>
            <w14:solidFill>
              <w14:schemeClr w14:val="tx1"/>
            </w14:solidFill>
          </w14:textFill>
        </w:rPr>
        <w:t>二〇二</w:t>
      </w:r>
      <w:r>
        <w:rPr>
          <w:rFonts w:hint="eastAsia" w:ascii="宋体" w:hAnsi="宋体" w:eastAsia="宋体" w:cs="宋体"/>
          <w:b/>
          <w:color w:val="000000" w:themeColor="text1"/>
          <w:spacing w:val="40"/>
          <w:sz w:val="30"/>
          <w:szCs w:val="30"/>
          <w:highlight w:val="none"/>
          <w:lang w:val="en-US" w:eastAsia="zh-CN"/>
          <w14:textFill>
            <w14:solidFill>
              <w14:schemeClr w14:val="tx1"/>
            </w14:solidFill>
          </w14:textFill>
        </w:rPr>
        <w:t>二</w:t>
      </w:r>
      <w:r>
        <w:rPr>
          <w:rFonts w:hint="eastAsia" w:ascii="宋体" w:hAnsi="宋体" w:eastAsia="宋体" w:cs="宋体"/>
          <w:b/>
          <w:color w:val="000000" w:themeColor="text1"/>
          <w:spacing w:val="40"/>
          <w:sz w:val="30"/>
          <w:szCs w:val="30"/>
          <w:highlight w:val="none"/>
          <w14:textFill>
            <w14:solidFill>
              <w14:schemeClr w14:val="tx1"/>
            </w14:solidFill>
          </w14:textFill>
        </w:rPr>
        <w:t>年</w:t>
      </w:r>
      <w:r>
        <w:rPr>
          <w:rFonts w:hint="eastAsia" w:ascii="宋体" w:hAnsi="宋体" w:eastAsia="宋体" w:cs="宋体"/>
          <w:b/>
          <w:color w:val="000000" w:themeColor="text1"/>
          <w:spacing w:val="40"/>
          <w:sz w:val="30"/>
          <w:szCs w:val="30"/>
          <w:highlight w:val="none"/>
          <w:lang w:val="en-US" w:eastAsia="zh-CN"/>
          <w14:textFill>
            <w14:solidFill>
              <w14:schemeClr w14:val="tx1"/>
            </w14:solidFill>
          </w14:textFill>
        </w:rPr>
        <w:t>五</w:t>
      </w:r>
      <w:r>
        <w:rPr>
          <w:rFonts w:hint="eastAsia" w:ascii="宋体" w:hAnsi="宋体" w:eastAsia="宋体" w:cs="宋体"/>
          <w:b/>
          <w:color w:val="000000" w:themeColor="text1"/>
          <w:spacing w:val="40"/>
          <w:sz w:val="30"/>
          <w:szCs w:val="30"/>
          <w:highlight w:val="none"/>
          <w14:textFill>
            <w14:solidFill>
              <w14:schemeClr w14:val="tx1"/>
            </w14:solidFill>
          </w14:textFill>
        </w:rPr>
        <w:t>月</w:t>
      </w:r>
    </w:p>
    <w:p>
      <w:pPr>
        <w:spacing w:line="600" w:lineRule="exact"/>
        <w:jc w:val="center"/>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pacing w:val="40"/>
          <w:sz w:val="30"/>
          <w:szCs w:val="30"/>
          <w:highlight w:val="none"/>
          <w14:textFill>
            <w14:solidFill>
              <w14:schemeClr w14:val="tx1"/>
            </w14:solidFill>
          </w14:textFill>
        </w:rPr>
        <w:br w:type="page"/>
      </w:r>
      <w:r>
        <w:rPr>
          <w:rFonts w:hint="eastAsia" w:ascii="宋体" w:hAnsi="宋体" w:eastAsia="宋体" w:cs="宋体"/>
          <w:b/>
          <w:bCs/>
          <w:color w:val="000000" w:themeColor="text1"/>
          <w:sz w:val="32"/>
          <w:szCs w:val="32"/>
          <w:highlight w:val="none"/>
          <w14:textFill>
            <w14:solidFill>
              <w14:schemeClr w14:val="tx1"/>
            </w14:solidFill>
          </w14:textFill>
        </w:rPr>
        <w:t>目    录</w:t>
      </w:r>
    </w:p>
    <w:p>
      <w:pPr>
        <w:pStyle w:val="21"/>
        <w:rPr>
          <w:rFonts w:hint="eastAsia" w:ascii="宋体" w:hAnsi="宋体" w:eastAsia="宋体" w:cs="宋体"/>
          <w:b/>
          <w:bCs w:val="0"/>
          <w:color w:val="000000" w:themeColor="text1"/>
          <w:sz w:val="24"/>
          <w:szCs w:val="24"/>
          <w:highlight w:val="none"/>
          <w14:textFill>
            <w14:solidFill>
              <w14:schemeClr w14:val="tx1"/>
            </w14:solidFill>
          </w14:textFill>
        </w:rPr>
      </w:pPr>
    </w:p>
    <w:p>
      <w:pPr>
        <w:pStyle w:val="21"/>
        <w:rPr>
          <w:rFonts w:hint="eastAsia" w:ascii="宋体" w:hAnsi="宋体" w:eastAsia="宋体" w:cs="宋体"/>
          <w:bCs w:val="0"/>
          <w:color w:val="000000" w:themeColor="text1"/>
          <w:sz w:val="24"/>
          <w:szCs w:val="24"/>
          <w:highlight w:val="none"/>
          <w14:textFill>
            <w14:solidFill>
              <w14:schemeClr w14:val="tx1"/>
            </w14:solidFill>
          </w14:textFill>
        </w:rPr>
      </w:pPr>
      <w:r>
        <w:rPr>
          <w:rFonts w:hint="eastAsia" w:ascii="宋体" w:hAnsi="宋体" w:eastAsia="宋体" w:cs="宋体"/>
          <w:b/>
          <w:bCs w:val="0"/>
          <w:color w:val="000000" w:themeColor="text1"/>
          <w:sz w:val="24"/>
          <w:szCs w:val="24"/>
          <w:highlight w:val="none"/>
          <w14:textFill>
            <w14:solidFill>
              <w14:schemeClr w14:val="tx1"/>
            </w14:solidFill>
          </w14:textFill>
        </w:rPr>
        <w:fldChar w:fldCharType="begin"/>
      </w:r>
      <w:r>
        <w:rPr>
          <w:rFonts w:hint="eastAsia" w:ascii="宋体" w:hAnsi="宋体" w:eastAsia="宋体" w:cs="宋体"/>
          <w:b/>
          <w:bCs w:val="0"/>
          <w:color w:val="000000" w:themeColor="text1"/>
          <w:sz w:val="24"/>
          <w:szCs w:val="24"/>
          <w:highlight w:val="none"/>
          <w14:textFill>
            <w14:solidFill>
              <w14:schemeClr w14:val="tx1"/>
            </w14:solidFill>
          </w14:textFill>
        </w:rPr>
        <w:instrText xml:space="preserve"> TOC \o "1-3" \h \z \u </w:instrText>
      </w:r>
      <w:r>
        <w:rPr>
          <w:rFonts w:hint="eastAsia" w:ascii="宋体" w:hAnsi="宋体" w:eastAsia="宋体" w:cs="宋体"/>
          <w:b/>
          <w:bCs w:val="0"/>
          <w:color w:val="000000" w:themeColor="text1"/>
          <w:sz w:val="24"/>
          <w:szCs w:val="24"/>
          <w:highlight w:val="none"/>
          <w14:textFill>
            <w14:solidFill>
              <w14:schemeClr w14:val="tx1"/>
            </w14:solidFill>
          </w14:textFill>
        </w:rPr>
        <w:fldChar w:fldCharType="separate"/>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"_Toc49175231" </w:instrText>
      </w:r>
      <w:r>
        <w:rPr>
          <w:rFonts w:hint="eastAsia" w:ascii="宋体" w:hAnsi="宋体" w:eastAsia="宋体" w:cs="宋体"/>
          <w:sz w:val="24"/>
          <w:szCs w:val="24"/>
          <w:highlight w:val="none"/>
        </w:rPr>
        <w:fldChar w:fldCharType="separate"/>
      </w:r>
      <w:r>
        <w:rPr>
          <w:rStyle w:val="33"/>
          <w:rFonts w:hint="eastAsia" w:ascii="宋体" w:hAnsi="宋体" w:eastAsia="宋体" w:cs="宋体"/>
          <w:color w:val="000000" w:themeColor="text1"/>
          <w:sz w:val="24"/>
          <w:szCs w:val="24"/>
          <w:highlight w:val="none"/>
          <w14:textFill>
            <w14:solidFill>
              <w14:schemeClr w14:val="tx1"/>
            </w14:solidFill>
          </w14:textFill>
        </w:rPr>
        <w:t>邀请函</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_Toc49175231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pPr>
        <w:pStyle w:val="21"/>
        <w:rPr>
          <w:rFonts w:hint="eastAsia" w:ascii="宋体" w:hAnsi="宋体" w:eastAsia="宋体" w:cs="宋体"/>
          <w:bCs w:val="0"/>
          <w:color w:val="000000" w:themeColor="text1"/>
          <w:sz w:val="24"/>
          <w:szCs w:val="24"/>
          <w:highlight w:val="none"/>
          <w14:textFill>
            <w14:solidFill>
              <w14:schemeClr w14:val="tx1"/>
            </w14:solidFill>
          </w14:textFill>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"_Toc49175232" </w:instrText>
      </w:r>
      <w:r>
        <w:rPr>
          <w:rFonts w:hint="eastAsia" w:ascii="宋体" w:hAnsi="宋体" w:eastAsia="宋体" w:cs="宋体"/>
          <w:sz w:val="24"/>
          <w:szCs w:val="24"/>
          <w:highlight w:val="none"/>
        </w:rPr>
        <w:fldChar w:fldCharType="separate"/>
      </w:r>
      <w:r>
        <w:rPr>
          <w:rStyle w:val="33"/>
          <w:rFonts w:hint="eastAsia" w:ascii="宋体" w:hAnsi="宋体" w:eastAsia="宋体" w:cs="宋体"/>
          <w:color w:val="000000" w:themeColor="text1"/>
          <w:sz w:val="24"/>
          <w:szCs w:val="24"/>
          <w:highlight w:val="none"/>
          <w14:textFill>
            <w14:solidFill>
              <w14:schemeClr w14:val="tx1"/>
            </w14:solidFill>
          </w14:textFill>
        </w:rPr>
        <w:t>第一部分    供应商须知</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_Toc49175232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pPr>
        <w:pStyle w:val="21"/>
        <w:rPr>
          <w:rFonts w:hint="eastAsia" w:ascii="宋体" w:hAnsi="宋体" w:eastAsia="宋体" w:cs="宋体"/>
          <w:bCs w:val="0"/>
          <w:color w:val="000000" w:themeColor="text1"/>
          <w:sz w:val="24"/>
          <w:szCs w:val="24"/>
          <w:highlight w:val="none"/>
          <w14:textFill>
            <w14:solidFill>
              <w14:schemeClr w14:val="tx1"/>
            </w14:solidFill>
          </w14:textFill>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"_Toc49175234" </w:instrText>
      </w:r>
      <w:r>
        <w:rPr>
          <w:rFonts w:hint="eastAsia" w:ascii="宋体" w:hAnsi="宋体" w:eastAsia="宋体" w:cs="宋体"/>
          <w:sz w:val="24"/>
          <w:szCs w:val="24"/>
          <w:highlight w:val="none"/>
        </w:rPr>
        <w:fldChar w:fldCharType="separate"/>
      </w:r>
      <w:r>
        <w:rPr>
          <w:rStyle w:val="33"/>
          <w:rFonts w:hint="eastAsia" w:ascii="宋体" w:hAnsi="宋体" w:eastAsia="宋体" w:cs="宋体"/>
          <w:color w:val="000000" w:themeColor="text1"/>
          <w:sz w:val="24"/>
          <w:szCs w:val="24"/>
          <w:highlight w:val="none"/>
          <w14:textFill>
            <w14:solidFill>
              <w14:schemeClr w14:val="tx1"/>
            </w14:solidFill>
          </w14:textFill>
        </w:rPr>
        <w:t>一、  说明</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_Toc49175234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pPr>
        <w:pStyle w:val="21"/>
        <w:rPr>
          <w:rFonts w:hint="eastAsia" w:ascii="宋体" w:hAnsi="宋体" w:eastAsia="宋体" w:cs="宋体"/>
          <w:bCs w:val="0"/>
          <w:color w:val="000000" w:themeColor="text1"/>
          <w:sz w:val="24"/>
          <w:szCs w:val="24"/>
          <w:highlight w:val="none"/>
          <w14:textFill>
            <w14:solidFill>
              <w14:schemeClr w14:val="tx1"/>
            </w14:solidFill>
          </w14:textFill>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"_Toc49175235" </w:instrText>
      </w:r>
      <w:r>
        <w:rPr>
          <w:rFonts w:hint="eastAsia" w:ascii="宋体" w:hAnsi="宋体" w:eastAsia="宋体" w:cs="宋体"/>
          <w:sz w:val="24"/>
          <w:szCs w:val="24"/>
          <w:highlight w:val="none"/>
        </w:rPr>
        <w:fldChar w:fldCharType="separate"/>
      </w:r>
      <w:r>
        <w:rPr>
          <w:rStyle w:val="33"/>
          <w:rFonts w:hint="eastAsia" w:ascii="宋体" w:hAnsi="宋体" w:eastAsia="宋体" w:cs="宋体"/>
          <w:color w:val="000000" w:themeColor="text1"/>
          <w:sz w:val="24"/>
          <w:szCs w:val="24"/>
          <w:highlight w:val="none"/>
          <w14:textFill>
            <w14:solidFill>
              <w14:schemeClr w14:val="tx1"/>
            </w14:solidFill>
          </w14:textFill>
        </w:rPr>
        <w:t>二、 单一来源采购文件</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_Toc49175235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pPr>
        <w:pStyle w:val="21"/>
        <w:rPr>
          <w:rFonts w:hint="eastAsia" w:ascii="宋体" w:hAnsi="宋体" w:eastAsia="宋体" w:cs="宋体"/>
          <w:bCs w:val="0"/>
          <w:color w:val="000000" w:themeColor="text1"/>
          <w:sz w:val="24"/>
          <w:szCs w:val="24"/>
          <w:highlight w:val="none"/>
          <w14:textFill>
            <w14:solidFill>
              <w14:schemeClr w14:val="tx1"/>
            </w14:solidFill>
          </w14:textFill>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"_Toc49175236" </w:instrText>
      </w:r>
      <w:r>
        <w:rPr>
          <w:rFonts w:hint="eastAsia" w:ascii="宋体" w:hAnsi="宋体" w:eastAsia="宋体" w:cs="宋体"/>
          <w:sz w:val="24"/>
          <w:szCs w:val="24"/>
          <w:highlight w:val="none"/>
        </w:rPr>
        <w:fldChar w:fldCharType="separate"/>
      </w:r>
      <w:r>
        <w:rPr>
          <w:rStyle w:val="33"/>
          <w:rFonts w:hint="eastAsia" w:ascii="宋体" w:hAnsi="宋体" w:eastAsia="宋体" w:cs="宋体"/>
          <w:color w:val="000000" w:themeColor="text1"/>
          <w:sz w:val="24"/>
          <w:szCs w:val="24"/>
          <w:highlight w:val="none"/>
          <w14:textFill>
            <w14:solidFill>
              <w14:schemeClr w14:val="tx1"/>
            </w14:solidFill>
          </w14:textFill>
        </w:rPr>
        <w:t>三、 单一来源响应文件的编制</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_Toc49175236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pPr>
        <w:pStyle w:val="21"/>
        <w:rPr>
          <w:rFonts w:hint="eastAsia" w:ascii="宋体" w:hAnsi="宋体" w:eastAsia="宋体" w:cs="宋体"/>
          <w:bCs w:val="0"/>
          <w:color w:val="000000" w:themeColor="text1"/>
          <w:sz w:val="24"/>
          <w:szCs w:val="24"/>
          <w:highlight w:val="none"/>
          <w14:textFill>
            <w14:solidFill>
              <w14:schemeClr w14:val="tx1"/>
            </w14:solidFill>
          </w14:textFill>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"_Toc49175237" </w:instrText>
      </w:r>
      <w:r>
        <w:rPr>
          <w:rFonts w:hint="eastAsia" w:ascii="宋体" w:hAnsi="宋体" w:eastAsia="宋体" w:cs="宋体"/>
          <w:sz w:val="24"/>
          <w:szCs w:val="24"/>
          <w:highlight w:val="none"/>
        </w:rPr>
        <w:fldChar w:fldCharType="separate"/>
      </w:r>
      <w:r>
        <w:rPr>
          <w:rStyle w:val="33"/>
          <w:rFonts w:hint="eastAsia" w:ascii="宋体" w:hAnsi="宋体" w:eastAsia="宋体" w:cs="宋体"/>
          <w:color w:val="000000" w:themeColor="text1"/>
          <w:sz w:val="24"/>
          <w:szCs w:val="24"/>
          <w:highlight w:val="none"/>
          <w14:textFill>
            <w14:solidFill>
              <w14:schemeClr w14:val="tx1"/>
            </w14:solidFill>
          </w14:textFill>
        </w:rPr>
        <w:t>四、 单一来源响应文件的提交</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_Toc49175237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pPr>
        <w:pStyle w:val="21"/>
        <w:rPr>
          <w:rFonts w:hint="eastAsia" w:ascii="宋体" w:hAnsi="宋体" w:eastAsia="宋体" w:cs="宋体"/>
          <w:bCs w:val="0"/>
          <w:color w:val="000000" w:themeColor="text1"/>
          <w:sz w:val="24"/>
          <w:szCs w:val="24"/>
          <w:highlight w:val="none"/>
          <w14:textFill>
            <w14:solidFill>
              <w14:schemeClr w14:val="tx1"/>
            </w14:solidFill>
          </w14:textFill>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"_Toc49175238" </w:instrText>
      </w:r>
      <w:r>
        <w:rPr>
          <w:rFonts w:hint="eastAsia" w:ascii="宋体" w:hAnsi="宋体" w:eastAsia="宋体" w:cs="宋体"/>
          <w:sz w:val="24"/>
          <w:szCs w:val="24"/>
          <w:highlight w:val="none"/>
        </w:rPr>
        <w:fldChar w:fldCharType="separate"/>
      </w:r>
      <w:r>
        <w:rPr>
          <w:rStyle w:val="33"/>
          <w:rFonts w:hint="eastAsia" w:ascii="宋体" w:hAnsi="宋体" w:eastAsia="宋体" w:cs="宋体"/>
          <w:color w:val="000000" w:themeColor="text1"/>
          <w:sz w:val="24"/>
          <w:szCs w:val="24"/>
          <w:highlight w:val="none"/>
          <w14:textFill>
            <w14:solidFill>
              <w14:schemeClr w14:val="tx1"/>
            </w14:solidFill>
          </w14:textFill>
        </w:rPr>
        <w:t>五、 开标和评标</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_Toc49175238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pPr>
        <w:pStyle w:val="21"/>
        <w:rPr>
          <w:rFonts w:hint="eastAsia" w:ascii="宋体" w:hAnsi="宋体" w:eastAsia="宋体" w:cs="宋体"/>
          <w:bCs w:val="0"/>
          <w:color w:val="000000" w:themeColor="text1"/>
          <w:sz w:val="24"/>
          <w:szCs w:val="24"/>
          <w:highlight w:val="none"/>
          <w14:textFill>
            <w14:solidFill>
              <w14:schemeClr w14:val="tx1"/>
            </w14:solidFill>
          </w14:textFill>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"_Toc49175239" </w:instrText>
      </w:r>
      <w:r>
        <w:rPr>
          <w:rFonts w:hint="eastAsia" w:ascii="宋体" w:hAnsi="宋体" w:eastAsia="宋体" w:cs="宋体"/>
          <w:sz w:val="24"/>
          <w:szCs w:val="24"/>
          <w:highlight w:val="none"/>
        </w:rPr>
        <w:fldChar w:fldCharType="separate"/>
      </w:r>
      <w:r>
        <w:rPr>
          <w:rStyle w:val="33"/>
          <w:rFonts w:hint="eastAsia" w:ascii="宋体" w:hAnsi="宋体" w:eastAsia="宋体" w:cs="宋体"/>
          <w:color w:val="000000" w:themeColor="text1"/>
          <w:sz w:val="24"/>
          <w:szCs w:val="24"/>
          <w:highlight w:val="none"/>
          <w14:textFill>
            <w14:solidFill>
              <w14:schemeClr w14:val="tx1"/>
            </w14:solidFill>
          </w14:textFill>
        </w:rPr>
        <w:t>六、 授予合同</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_Toc49175239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11</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pPr>
        <w:pStyle w:val="21"/>
        <w:rPr>
          <w:rFonts w:hint="eastAsia" w:ascii="宋体" w:hAnsi="宋体" w:eastAsia="宋体" w:cs="宋体"/>
          <w:bCs w:val="0"/>
          <w:color w:val="000000" w:themeColor="text1"/>
          <w:sz w:val="24"/>
          <w:szCs w:val="24"/>
          <w:highlight w:val="none"/>
          <w14:textFill>
            <w14:solidFill>
              <w14:schemeClr w14:val="tx1"/>
            </w14:solidFill>
          </w14:textFill>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"_Toc49175240" </w:instrText>
      </w:r>
      <w:r>
        <w:rPr>
          <w:rFonts w:hint="eastAsia" w:ascii="宋体" w:hAnsi="宋体" w:eastAsia="宋体" w:cs="宋体"/>
          <w:sz w:val="24"/>
          <w:szCs w:val="24"/>
          <w:highlight w:val="none"/>
        </w:rPr>
        <w:fldChar w:fldCharType="separate"/>
      </w:r>
      <w:r>
        <w:rPr>
          <w:rStyle w:val="33"/>
          <w:rFonts w:hint="eastAsia" w:ascii="宋体" w:hAnsi="宋体" w:eastAsia="宋体" w:cs="宋体"/>
          <w:color w:val="000000" w:themeColor="text1"/>
          <w:sz w:val="24"/>
          <w:szCs w:val="24"/>
          <w:highlight w:val="none"/>
          <w14:textFill>
            <w14:solidFill>
              <w14:schemeClr w14:val="tx1"/>
            </w14:solidFill>
          </w14:textFill>
        </w:rPr>
        <w:t>第二部分   合同主要条款</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_Toc49175240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12</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pPr>
        <w:pStyle w:val="21"/>
        <w:rPr>
          <w:rFonts w:hint="eastAsia" w:ascii="宋体" w:hAnsi="宋体" w:eastAsia="宋体" w:cs="宋体"/>
          <w:bCs w:val="0"/>
          <w:color w:val="000000" w:themeColor="text1"/>
          <w:sz w:val="24"/>
          <w:szCs w:val="24"/>
          <w:highlight w:val="none"/>
          <w14:textFill>
            <w14:solidFill>
              <w14:schemeClr w14:val="tx1"/>
            </w14:solidFill>
          </w14:textFill>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"_Toc49175241" </w:instrText>
      </w:r>
      <w:r>
        <w:rPr>
          <w:rFonts w:hint="eastAsia" w:ascii="宋体" w:hAnsi="宋体" w:eastAsia="宋体" w:cs="宋体"/>
          <w:sz w:val="24"/>
          <w:szCs w:val="24"/>
          <w:highlight w:val="none"/>
        </w:rPr>
        <w:fldChar w:fldCharType="separate"/>
      </w:r>
      <w:r>
        <w:rPr>
          <w:rStyle w:val="33"/>
          <w:rFonts w:hint="eastAsia" w:ascii="宋体" w:hAnsi="宋体" w:eastAsia="宋体" w:cs="宋体"/>
          <w:color w:val="000000" w:themeColor="text1"/>
          <w:sz w:val="24"/>
          <w:szCs w:val="24"/>
          <w:highlight w:val="none"/>
          <w14:textFill>
            <w14:solidFill>
              <w14:schemeClr w14:val="tx1"/>
            </w14:solidFill>
          </w14:textFill>
        </w:rPr>
        <w:t>第三部分   附件</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_Toc49175241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17</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pPr>
        <w:pStyle w:val="21"/>
        <w:rPr>
          <w:rFonts w:hint="eastAsia" w:ascii="宋体" w:hAnsi="宋体" w:eastAsia="宋体" w:cs="宋体"/>
          <w:bCs w:val="0"/>
          <w:color w:val="000000" w:themeColor="text1"/>
          <w:sz w:val="24"/>
          <w:szCs w:val="24"/>
          <w:highlight w:val="none"/>
          <w14:textFill>
            <w14:solidFill>
              <w14:schemeClr w14:val="tx1"/>
            </w14:solidFill>
          </w14:textFill>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"_Toc49175242" </w:instrText>
      </w:r>
      <w:r>
        <w:rPr>
          <w:rFonts w:hint="eastAsia" w:ascii="宋体" w:hAnsi="宋体" w:eastAsia="宋体" w:cs="宋体"/>
          <w:sz w:val="24"/>
          <w:szCs w:val="24"/>
          <w:highlight w:val="none"/>
        </w:rPr>
        <w:fldChar w:fldCharType="separate"/>
      </w:r>
      <w:r>
        <w:rPr>
          <w:rStyle w:val="33"/>
          <w:rFonts w:hint="eastAsia" w:ascii="宋体" w:hAnsi="宋体" w:eastAsia="宋体" w:cs="宋体"/>
          <w:color w:val="000000" w:themeColor="text1"/>
          <w:sz w:val="24"/>
          <w:szCs w:val="24"/>
          <w:highlight w:val="none"/>
          <w14:textFill>
            <w14:solidFill>
              <w14:schemeClr w14:val="tx1"/>
            </w14:solidFill>
          </w14:textFill>
        </w:rPr>
        <w:t>第四部分   采购内容及要求</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_Toc49175242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25</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pPr>
        <w:pStyle w:val="21"/>
        <w:rPr>
          <w:rFonts w:hint="eastAsia" w:ascii="宋体" w:hAnsi="宋体" w:eastAsia="宋体" w:cs="宋体"/>
          <w:bCs w:val="0"/>
          <w:color w:val="000000" w:themeColor="text1"/>
          <w:sz w:val="24"/>
          <w:szCs w:val="24"/>
          <w:highlight w:val="none"/>
          <w14:textFill>
            <w14:solidFill>
              <w14:schemeClr w14:val="tx1"/>
            </w14:solidFill>
          </w14:textFill>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"_Toc49175243" </w:instrText>
      </w:r>
      <w:r>
        <w:rPr>
          <w:rFonts w:hint="eastAsia" w:ascii="宋体" w:hAnsi="宋体" w:eastAsia="宋体" w:cs="宋体"/>
          <w:sz w:val="24"/>
          <w:szCs w:val="24"/>
          <w:highlight w:val="none"/>
        </w:rPr>
        <w:fldChar w:fldCharType="separate"/>
      </w:r>
      <w:r>
        <w:rPr>
          <w:rStyle w:val="33"/>
          <w:rFonts w:hint="eastAsia" w:ascii="宋体" w:hAnsi="宋体" w:eastAsia="宋体" w:cs="宋体"/>
          <w:color w:val="000000" w:themeColor="text1"/>
          <w:sz w:val="24"/>
          <w:szCs w:val="24"/>
          <w:highlight w:val="none"/>
          <w14:textFill>
            <w14:solidFill>
              <w14:schemeClr w14:val="tx1"/>
            </w14:solidFill>
          </w14:textFill>
        </w:rPr>
        <w:t>第五部分   评标原则及方法</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_Toc49175243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40</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pPr>
        <w:spacing w:line="480" w:lineRule="auto"/>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fldChar w:fldCharType="end"/>
      </w:r>
    </w:p>
    <w:p>
      <w:pPr>
        <w:spacing w:line="560" w:lineRule="exact"/>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注：采购文件中部分</w:t>
      </w:r>
      <w:r>
        <w:rPr>
          <w:rFonts w:hint="eastAsia" w:ascii="宋体" w:hAnsi="宋体" w:eastAsia="宋体" w:cs="宋体"/>
          <w:b/>
          <w:bCs/>
          <w:color w:val="000000" w:themeColor="text1"/>
          <w:szCs w:val="21"/>
          <w:highlight w:val="none"/>
          <w14:textFill>
            <w14:solidFill>
              <w14:schemeClr w14:val="tx1"/>
            </w14:solidFill>
          </w14:textFill>
        </w:rPr>
        <w:t>加“▲”</w:t>
      </w:r>
      <w:r>
        <w:rPr>
          <w:rFonts w:hint="eastAsia" w:ascii="宋体" w:hAnsi="宋体" w:eastAsia="宋体" w:cs="宋体"/>
          <w:b/>
          <w:bCs/>
          <w:color w:val="000000" w:themeColor="text1"/>
          <w:sz w:val="22"/>
          <w:szCs w:val="22"/>
          <w:highlight w:val="none"/>
          <w14:textFill>
            <w14:solidFill>
              <w14:schemeClr w14:val="tx1"/>
            </w14:solidFill>
          </w14:textFill>
        </w:rPr>
        <w:t>及加下划线的条款，为采购的实质性要求和条件，着重提醒各供应商注意，并认真查看采购文件中的每一个条款及要求，因误读采购文件而造成的后果，采购人概不负责。</w:t>
      </w:r>
    </w:p>
    <w:p>
      <w:pPr>
        <w:spacing w:line="560" w:lineRule="exact"/>
        <w:rPr>
          <w:rFonts w:hint="eastAsia" w:ascii="宋体" w:hAnsi="宋体" w:eastAsia="宋体" w:cs="宋体"/>
          <w:b/>
          <w:bCs/>
          <w:color w:val="000000" w:themeColor="text1"/>
          <w:sz w:val="22"/>
          <w:szCs w:val="22"/>
          <w:highlight w:val="none"/>
          <w14:textFill>
            <w14:solidFill>
              <w14:schemeClr w14:val="tx1"/>
            </w14:solidFill>
          </w14:textFill>
        </w:rPr>
      </w:pPr>
    </w:p>
    <w:p>
      <w:pPr>
        <w:spacing w:line="560" w:lineRule="exact"/>
        <w:rPr>
          <w:rFonts w:hint="eastAsia" w:ascii="宋体" w:hAnsi="宋体" w:eastAsia="宋体" w:cs="宋体"/>
          <w:b/>
          <w:bCs/>
          <w:color w:val="000000" w:themeColor="text1"/>
          <w:sz w:val="22"/>
          <w:szCs w:val="22"/>
          <w:highlight w:val="none"/>
          <w14:textFill>
            <w14:solidFill>
              <w14:schemeClr w14:val="tx1"/>
            </w14:solidFill>
          </w14:textFill>
        </w:rPr>
      </w:pPr>
    </w:p>
    <w:p>
      <w:pPr>
        <w:spacing w:line="380" w:lineRule="exact"/>
        <w:ind w:right="720"/>
        <w:rPr>
          <w:rFonts w:hint="eastAsia" w:ascii="宋体" w:hAnsi="宋体" w:eastAsia="宋体" w:cs="宋体"/>
          <w:color w:val="000000" w:themeColor="text1"/>
          <w:sz w:val="22"/>
          <w:szCs w:val="22"/>
          <w:highlight w:val="none"/>
          <w14:textFill>
            <w14:solidFill>
              <w14:schemeClr w14:val="tx1"/>
            </w14:solidFill>
          </w14:textFill>
        </w:rPr>
      </w:pPr>
    </w:p>
    <w:p>
      <w:pPr>
        <w:spacing w:line="380" w:lineRule="exact"/>
        <w:ind w:right="720"/>
        <w:rPr>
          <w:rFonts w:hint="eastAsia" w:ascii="宋体" w:hAnsi="宋体" w:eastAsia="宋体" w:cs="宋体"/>
          <w:color w:val="000000" w:themeColor="text1"/>
          <w:sz w:val="22"/>
          <w:szCs w:val="22"/>
          <w:highlight w:val="none"/>
          <w14:textFill>
            <w14:solidFill>
              <w14:schemeClr w14:val="tx1"/>
            </w14:solidFill>
          </w14:textFill>
        </w:rPr>
      </w:pPr>
    </w:p>
    <w:p>
      <w:pPr>
        <w:spacing w:line="380" w:lineRule="exact"/>
        <w:ind w:right="720"/>
        <w:rPr>
          <w:rFonts w:hint="eastAsia" w:ascii="宋体" w:hAnsi="宋体" w:eastAsia="宋体" w:cs="宋体"/>
          <w:color w:val="000000" w:themeColor="text1"/>
          <w:sz w:val="22"/>
          <w:szCs w:val="22"/>
          <w:highlight w:val="none"/>
          <w14:textFill>
            <w14:solidFill>
              <w14:schemeClr w14:val="tx1"/>
            </w14:solidFill>
          </w14:textFill>
        </w:rPr>
      </w:pPr>
    </w:p>
    <w:p>
      <w:pPr>
        <w:spacing w:line="380" w:lineRule="exact"/>
        <w:ind w:right="720"/>
        <w:rPr>
          <w:rFonts w:hint="eastAsia" w:ascii="宋体" w:hAnsi="宋体" w:eastAsia="宋体" w:cs="宋体"/>
          <w:color w:val="000000" w:themeColor="text1"/>
          <w:sz w:val="22"/>
          <w:szCs w:val="22"/>
          <w:highlight w:val="none"/>
          <w14:textFill>
            <w14:solidFill>
              <w14:schemeClr w14:val="tx1"/>
            </w14:solidFill>
          </w14:textFill>
        </w:rPr>
      </w:pPr>
    </w:p>
    <w:p>
      <w:pPr>
        <w:spacing w:line="380" w:lineRule="exact"/>
        <w:ind w:right="720"/>
        <w:rPr>
          <w:rFonts w:hint="eastAsia" w:ascii="宋体" w:hAnsi="宋体" w:eastAsia="宋体" w:cs="宋体"/>
          <w:color w:val="000000" w:themeColor="text1"/>
          <w:sz w:val="22"/>
          <w:szCs w:val="22"/>
          <w:highlight w:val="none"/>
          <w14:textFill>
            <w14:solidFill>
              <w14:schemeClr w14:val="tx1"/>
            </w14:solidFill>
          </w14:textFill>
        </w:rPr>
      </w:pPr>
    </w:p>
    <w:p>
      <w:pPr>
        <w:pStyle w:val="12"/>
        <w:ind w:firstLine="0" w:firstLineChars="0"/>
        <w:rPr>
          <w:rFonts w:hint="eastAsia" w:ascii="宋体" w:hAnsi="宋体" w:eastAsia="宋体" w:cs="宋体"/>
          <w:color w:val="000000" w:themeColor="text1"/>
          <w:sz w:val="22"/>
          <w:szCs w:val="22"/>
          <w:highlight w:val="none"/>
          <w14:textFill>
            <w14:solidFill>
              <w14:schemeClr w14:val="tx1"/>
            </w14:solidFill>
          </w14:textFill>
        </w:rPr>
      </w:pPr>
    </w:p>
    <w:p>
      <w:pPr>
        <w:spacing w:line="380" w:lineRule="exact"/>
        <w:ind w:right="720"/>
        <w:rPr>
          <w:rFonts w:hint="eastAsia" w:ascii="宋体" w:hAnsi="宋体" w:eastAsia="宋体" w:cs="宋体"/>
          <w:color w:val="000000" w:themeColor="text1"/>
          <w:sz w:val="22"/>
          <w:szCs w:val="22"/>
          <w:highlight w:val="none"/>
          <w14:textFill>
            <w14:solidFill>
              <w14:schemeClr w14:val="tx1"/>
            </w14:solidFill>
          </w14:textFill>
        </w:rPr>
      </w:pPr>
    </w:p>
    <w:p>
      <w:pPr>
        <w:pStyle w:val="2"/>
        <w:rPr>
          <w:rFonts w:hint="eastAsia" w:ascii="宋体" w:hAnsi="宋体" w:eastAsia="宋体" w:cs="宋体"/>
          <w:color w:val="000000" w:themeColor="text1"/>
          <w:sz w:val="28"/>
          <w:highlight w:val="none"/>
          <w14:textFill>
            <w14:solidFill>
              <w14:schemeClr w14:val="tx1"/>
            </w14:solidFill>
          </w14:textFill>
        </w:rPr>
      </w:pPr>
      <w:bookmarkStart w:id="0" w:name="_Toc221374621"/>
      <w:bookmarkStart w:id="1" w:name="_Toc262049413"/>
      <w:bookmarkStart w:id="2" w:name="_Toc221423614"/>
      <w:bookmarkStart w:id="3" w:name="_Toc221356881"/>
      <w:bookmarkStart w:id="4" w:name="_Toc246261260"/>
      <w:bookmarkStart w:id="5" w:name="_Toc249758707"/>
      <w:bookmarkStart w:id="6" w:name="_Toc245722276"/>
      <w:bookmarkStart w:id="7" w:name="_Toc223715993"/>
      <w:bookmarkStart w:id="8" w:name="_Toc221356946"/>
      <w:bookmarkStart w:id="9" w:name="_Toc49175231"/>
      <w:bookmarkStart w:id="10" w:name="_Toc249758859"/>
      <w:bookmarkStart w:id="11" w:name="_Toc222114874"/>
      <w:bookmarkStart w:id="12" w:name="_Toc241404197"/>
      <w:bookmarkStart w:id="13" w:name="_Toc262105498"/>
      <w:bookmarkStart w:id="14" w:name="_Toc239145349"/>
      <w:bookmarkStart w:id="15" w:name="_Toc245191309"/>
      <w:r>
        <w:rPr>
          <w:rFonts w:hint="eastAsia" w:ascii="宋体" w:hAnsi="宋体" w:eastAsia="宋体" w:cs="宋体"/>
          <w:color w:val="000000" w:themeColor="text1"/>
          <w:sz w:val="36"/>
          <w:szCs w:val="36"/>
          <w:highlight w:val="none"/>
          <w14:textFill>
            <w14:solidFill>
              <w14:schemeClr w14:val="tx1"/>
            </w14:solidFill>
          </w14:textFill>
        </w:rPr>
        <w:t>邀请函</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pPr>
        <w:spacing w:line="360" w:lineRule="auto"/>
        <w:rPr>
          <w:rFonts w:hint="eastAsia" w:ascii="宋体" w:hAnsi="宋体" w:eastAsia="宋体" w:cs="宋体"/>
          <w:highlight w:val="none"/>
        </w:rPr>
      </w:pPr>
    </w:p>
    <w:p>
      <w:pPr>
        <w:keepNext w:val="0"/>
        <w:keepLines w:val="0"/>
        <w:pageBreakBefore w:val="0"/>
        <w:kinsoku/>
        <w:overflowPunct/>
        <w:topLinePunct w:val="0"/>
        <w:bidi w:val="0"/>
        <w:adjustRightInd/>
        <w:snapToGrid/>
        <w:spacing w:line="360" w:lineRule="auto"/>
        <w:rPr>
          <w:rFonts w:hint="eastAsia" w:ascii="宋体" w:hAnsi="宋体" w:eastAsia="宋体" w:cs="宋体"/>
          <w:color w:val="000000" w:themeColor="text1"/>
          <w:sz w:val="22"/>
          <w:szCs w:val="22"/>
          <w:highlight w:val="none"/>
          <w:u w:val="single"/>
          <w14:textFill>
            <w14:solidFill>
              <w14:schemeClr w14:val="tx1"/>
            </w14:solidFill>
          </w14:textFill>
        </w:rPr>
      </w:pPr>
      <w:r>
        <w:rPr>
          <w:rFonts w:hint="eastAsia" w:ascii="宋体" w:hAnsi="宋体" w:eastAsia="宋体" w:cs="宋体"/>
          <w:color w:val="000000" w:themeColor="text1"/>
          <w:sz w:val="22"/>
          <w:szCs w:val="22"/>
          <w:highlight w:val="none"/>
          <w:u w:val="single"/>
          <w:lang w:eastAsia="zh-CN"/>
          <w14:textFill>
            <w14:solidFill>
              <w14:schemeClr w14:val="tx1"/>
            </w14:solidFill>
          </w14:textFill>
        </w:rPr>
        <w:t>中国联合网络通信有限公司温州市分公司</w:t>
      </w:r>
      <w:r>
        <w:rPr>
          <w:rFonts w:hint="eastAsia" w:ascii="宋体" w:hAnsi="宋体" w:eastAsia="宋体" w:cs="宋体"/>
          <w:color w:val="000000" w:themeColor="text1"/>
          <w:sz w:val="22"/>
          <w:szCs w:val="22"/>
          <w:highlight w:val="none"/>
          <w:u w:val="single"/>
          <w14:textFill>
            <w14:solidFill>
              <w14:schemeClr w14:val="tx1"/>
            </w14:solidFill>
          </w14:textFill>
        </w:rPr>
        <w:t>：</w:t>
      </w:r>
    </w:p>
    <w:p>
      <w:pPr>
        <w:keepNext w:val="0"/>
        <w:keepLines w:val="0"/>
        <w:pageBreakBefore w:val="0"/>
        <w:kinsoku/>
        <w:overflowPunct/>
        <w:topLinePunct w:val="0"/>
        <w:bidi w:val="0"/>
        <w:adjustRightInd/>
        <w:snapToGrid/>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sz w:val="22"/>
          <w:szCs w:val="22"/>
          <w:highlight w:val="none"/>
        </w:rPr>
        <w:t>根据《温州市市属国有企业采购管理办法（试行）》等有关规定，</w:t>
      </w:r>
      <w:r>
        <w:rPr>
          <w:rFonts w:hint="eastAsia" w:ascii="宋体" w:hAnsi="宋体" w:eastAsia="宋体" w:cs="宋体"/>
          <w:color w:val="000000" w:themeColor="text1"/>
          <w:sz w:val="22"/>
          <w:szCs w:val="22"/>
          <w:highlight w:val="none"/>
          <w14:textFill>
            <w14:solidFill>
              <w14:schemeClr w14:val="tx1"/>
            </w14:solidFill>
          </w14:textFill>
        </w:rPr>
        <w:t>浙江创嘉项目管理有限公司受</w:t>
      </w:r>
      <w:r>
        <w:rPr>
          <w:rFonts w:hint="eastAsia" w:ascii="宋体" w:hAnsi="宋体" w:eastAsia="宋体" w:cs="宋体"/>
          <w:color w:val="000000" w:themeColor="text1"/>
          <w:sz w:val="22"/>
          <w:szCs w:val="22"/>
          <w:highlight w:val="none"/>
          <w:lang w:eastAsia="zh-CN"/>
          <w14:textFill>
            <w14:solidFill>
              <w14:schemeClr w14:val="tx1"/>
            </w14:solidFill>
          </w14:textFill>
        </w:rPr>
        <w:t>浙江东方职业技术学院</w:t>
      </w:r>
      <w:r>
        <w:rPr>
          <w:rFonts w:hint="eastAsia" w:ascii="宋体" w:hAnsi="宋体" w:eastAsia="宋体" w:cs="宋体"/>
          <w:color w:val="000000" w:themeColor="text1"/>
          <w:sz w:val="22"/>
          <w:szCs w:val="22"/>
          <w:highlight w:val="none"/>
          <w14:textFill>
            <w14:solidFill>
              <w14:schemeClr w14:val="tx1"/>
            </w14:solidFill>
          </w14:textFill>
        </w:rPr>
        <w:t>委托，就所需</w:t>
      </w:r>
      <w:r>
        <w:rPr>
          <w:rFonts w:hint="eastAsia" w:ascii="宋体" w:hAnsi="宋体" w:eastAsia="宋体" w:cs="宋体"/>
          <w:color w:val="000000" w:themeColor="text1"/>
          <w:sz w:val="22"/>
          <w:szCs w:val="22"/>
          <w:highlight w:val="none"/>
          <w:lang w:eastAsia="zh-CN"/>
          <w14:textFill>
            <w14:solidFill>
              <w14:schemeClr w14:val="tx1"/>
            </w14:solidFill>
          </w14:textFill>
        </w:rPr>
        <w:t>标准化考场网上巡查系统改建</w:t>
      </w:r>
      <w:r>
        <w:rPr>
          <w:rFonts w:hint="eastAsia" w:ascii="宋体" w:hAnsi="宋体" w:eastAsia="宋体" w:cs="宋体"/>
          <w:color w:val="000000" w:themeColor="text1"/>
          <w:sz w:val="22"/>
          <w:szCs w:val="22"/>
          <w:highlight w:val="none"/>
          <w14:textFill>
            <w14:solidFill>
              <w14:schemeClr w14:val="tx1"/>
            </w14:solidFill>
          </w14:textFill>
        </w:rPr>
        <w:t>项目以单一来源方式进行国有企业采购，特邀请贵单位参加报价，请按采购文件的要求认真准备按时前来报价。</w:t>
      </w:r>
    </w:p>
    <w:p>
      <w:pPr>
        <w:keepNext w:val="0"/>
        <w:keepLines w:val="0"/>
        <w:pageBreakBefore w:val="0"/>
        <w:numPr>
          <w:ilvl w:val="0"/>
          <w:numId w:val="0"/>
        </w:numPr>
        <w:kinsoku/>
        <w:overflowPunct/>
        <w:topLinePunct w:val="0"/>
        <w:bidi w:val="0"/>
        <w:adjustRightInd/>
        <w:snapToGrid/>
        <w:spacing w:line="360" w:lineRule="auto"/>
        <w:ind w:leftChars="0"/>
        <w:rPr>
          <w:rFonts w:hint="eastAsia" w:ascii="宋体" w:hAnsi="宋体" w:eastAsia="宋体" w:cs="宋体"/>
          <w:bCs/>
          <w:color w:val="000000" w:themeColor="text1"/>
          <w:sz w:val="22"/>
          <w:szCs w:val="22"/>
          <w:highlight w:val="none"/>
          <w:lang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1、</w:t>
      </w:r>
      <w:r>
        <w:rPr>
          <w:rFonts w:hint="eastAsia" w:ascii="宋体" w:hAnsi="宋体" w:eastAsia="宋体" w:cs="宋体"/>
          <w:bCs/>
          <w:color w:val="000000" w:themeColor="text1"/>
          <w:sz w:val="22"/>
          <w:szCs w:val="22"/>
          <w:highlight w:val="none"/>
          <w:lang w:eastAsia="zh-CN"/>
          <w14:textFill>
            <w14:solidFill>
              <w14:schemeClr w14:val="tx1"/>
            </w14:solidFill>
          </w14:textFill>
        </w:rPr>
        <w:t>项目编号</w:t>
      </w:r>
      <w:r>
        <w:rPr>
          <w:rFonts w:hint="eastAsia" w:ascii="宋体" w:hAnsi="宋体" w:eastAsia="宋体" w:cs="宋体"/>
          <w:bCs/>
          <w:color w:val="000000" w:themeColor="text1"/>
          <w:sz w:val="22"/>
          <w:szCs w:val="22"/>
          <w:highlight w:val="none"/>
          <w14:textFill>
            <w14:solidFill>
              <w14:schemeClr w14:val="tx1"/>
            </w14:solidFill>
          </w14:textFill>
        </w:rPr>
        <w:t>：</w:t>
      </w:r>
      <w:r>
        <w:rPr>
          <w:rFonts w:hint="eastAsia" w:ascii="宋体" w:hAnsi="宋体" w:eastAsia="宋体" w:cs="宋体"/>
          <w:bCs/>
          <w:color w:val="000000" w:themeColor="text1"/>
          <w:sz w:val="22"/>
          <w:szCs w:val="22"/>
          <w:highlight w:val="none"/>
          <w:lang w:eastAsia="zh-CN"/>
          <w14:textFill>
            <w14:solidFill>
              <w14:schemeClr w14:val="tx1"/>
            </w14:solidFill>
          </w14:textFill>
        </w:rPr>
        <w:t>WGSS-XDJT-Z-2022083</w:t>
      </w:r>
    </w:p>
    <w:p>
      <w:pPr>
        <w:keepNext w:val="0"/>
        <w:keepLines w:val="0"/>
        <w:pageBreakBefore w:val="0"/>
        <w:numPr>
          <w:ilvl w:val="0"/>
          <w:numId w:val="0"/>
        </w:numPr>
        <w:kinsoku/>
        <w:overflowPunct/>
        <w:topLinePunct w:val="0"/>
        <w:bidi w:val="0"/>
        <w:adjustRightInd/>
        <w:snapToGrid/>
        <w:spacing w:line="360" w:lineRule="auto"/>
        <w:ind w:leftChars="0"/>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2、</w:t>
      </w:r>
      <w:r>
        <w:rPr>
          <w:rFonts w:hint="eastAsia" w:ascii="宋体" w:hAnsi="宋体" w:eastAsia="宋体" w:cs="宋体"/>
          <w:bCs/>
          <w:color w:val="000000" w:themeColor="text1"/>
          <w:sz w:val="22"/>
          <w:szCs w:val="22"/>
          <w:highlight w:val="none"/>
          <w:lang w:eastAsia="zh-CN"/>
          <w14:textFill>
            <w14:solidFill>
              <w14:schemeClr w14:val="tx1"/>
            </w14:solidFill>
          </w14:textFill>
        </w:rPr>
        <w:t>项目名称</w:t>
      </w:r>
      <w:r>
        <w:rPr>
          <w:rFonts w:hint="eastAsia" w:ascii="宋体" w:hAnsi="宋体" w:eastAsia="宋体" w:cs="宋体"/>
          <w:bCs/>
          <w:color w:val="000000" w:themeColor="text1"/>
          <w:sz w:val="22"/>
          <w:szCs w:val="22"/>
          <w:highlight w:val="none"/>
          <w14:textFill>
            <w14:solidFill>
              <w14:schemeClr w14:val="tx1"/>
            </w14:solidFill>
          </w14:textFill>
        </w:rPr>
        <w:t>：</w:t>
      </w:r>
      <w:r>
        <w:rPr>
          <w:rFonts w:hint="eastAsia" w:ascii="宋体" w:hAnsi="宋体" w:eastAsia="宋体" w:cs="宋体"/>
          <w:color w:val="000000" w:themeColor="text1"/>
          <w:sz w:val="22"/>
          <w:szCs w:val="22"/>
          <w:highlight w:val="none"/>
          <w:lang w:eastAsia="zh-CN"/>
          <w14:textFill>
            <w14:solidFill>
              <w14:schemeClr w14:val="tx1"/>
            </w14:solidFill>
          </w14:textFill>
        </w:rPr>
        <w:t>标准化考场网上巡查系统改建</w:t>
      </w:r>
    </w:p>
    <w:p>
      <w:pPr>
        <w:keepNext w:val="0"/>
        <w:keepLines w:val="0"/>
        <w:pageBreakBefore w:val="0"/>
        <w:numPr>
          <w:ilvl w:val="0"/>
          <w:numId w:val="0"/>
        </w:numPr>
        <w:kinsoku/>
        <w:overflowPunct/>
        <w:topLinePunct w:val="0"/>
        <w:bidi w:val="0"/>
        <w:adjustRightInd/>
        <w:snapToGrid/>
        <w:spacing w:line="360" w:lineRule="auto"/>
        <w:ind w:leftChars="0"/>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3、</w:t>
      </w:r>
      <w:r>
        <w:rPr>
          <w:rFonts w:hint="eastAsia" w:ascii="宋体" w:hAnsi="宋体" w:eastAsia="宋体" w:cs="宋体"/>
          <w:bCs/>
          <w:color w:val="000000" w:themeColor="text1"/>
          <w:sz w:val="22"/>
          <w:szCs w:val="22"/>
          <w:highlight w:val="none"/>
          <w14:textFill>
            <w14:solidFill>
              <w14:schemeClr w14:val="tx1"/>
            </w14:solidFill>
          </w14:textFill>
        </w:rPr>
        <w:t>项目性质：国企采购（非政府采购项目）</w:t>
      </w:r>
    </w:p>
    <w:p>
      <w:pPr>
        <w:keepNext w:val="0"/>
        <w:keepLines w:val="0"/>
        <w:pageBreakBefore w:val="0"/>
        <w:numPr>
          <w:ilvl w:val="0"/>
          <w:numId w:val="0"/>
        </w:numPr>
        <w:kinsoku/>
        <w:overflowPunct/>
        <w:topLinePunct w:val="0"/>
        <w:bidi w:val="0"/>
        <w:adjustRightInd/>
        <w:snapToGrid/>
        <w:spacing w:line="360" w:lineRule="auto"/>
        <w:ind w:leftChars="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4、</w:t>
      </w:r>
      <w:r>
        <w:rPr>
          <w:rFonts w:hint="eastAsia" w:ascii="宋体" w:hAnsi="宋体" w:eastAsia="宋体" w:cs="宋体"/>
          <w:bCs/>
          <w:color w:val="000000" w:themeColor="text1"/>
          <w:sz w:val="22"/>
          <w:szCs w:val="22"/>
          <w:highlight w:val="none"/>
          <w14:textFill>
            <w14:solidFill>
              <w14:schemeClr w14:val="tx1"/>
            </w14:solidFill>
          </w14:textFill>
        </w:rPr>
        <w:t>采购内容：</w:t>
      </w:r>
      <w:r>
        <w:rPr>
          <w:rFonts w:hint="eastAsia" w:ascii="宋体" w:hAnsi="宋体" w:eastAsia="宋体" w:cs="宋体"/>
          <w:color w:val="000000" w:themeColor="text1"/>
          <w:sz w:val="22"/>
          <w:szCs w:val="22"/>
          <w:highlight w:val="none"/>
          <w:lang w:eastAsia="zh-CN"/>
          <w14:textFill>
            <w14:solidFill>
              <w14:schemeClr w14:val="tx1"/>
            </w14:solidFill>
          </w14:textFill>
        </w:rPr>
        <w:t>标准化考场网上巡查系统改建</w:t>
      </w:r>
      <w:r>
        <w:rPr>
          <w:rFonts w:hint="eastAsia" w:ascii="宋体" w:hAnsi="宋体" w:eastAsia="宋体" w:cs="宋体"/>
          <w:color w:val="000000" w:themeColor="text1"/>
          <w:sz w:val="22"/>
          <w:szCs w:val="22"/>
          <w:highlight w:val="none"/>
          <w14:textFill>
            <w14:solidFill>
              <w14:schemeClr w14:val="tx1"/>
            </w14:solidFill>
          </w14:textFill>
        </w:rPr>
        <w:t>,</w:t>
      </w:r>
      <w:r>
        <w:rPr>
          <w:rFonts w:hint="eastAsia" w:ascii="宋体" w:hAnsi="宋体" w:eastAsia="宋体" w:cs="宋体"/>
          <w:bCs/>
          <w:color w:val="000000" w:themeColor="text1"/>
          <w:kern w:val="0"/>
          <w:sz w:val="22"/>
          <w:szCs w:val="22"/>
          <w:highlight w:val="none"/>
          <w14:textFill>
            <w14:solidFill>
              <w14:schemeClr w14:val="tx1"/>
            </w14:solidFill>
          </w14:textFill>
        </w:rPr>
        <w:t>具体采购内容及要求见采购文件第四部分。</w:t>
      </w:r>
    </w:p>
    <w:p>
      <w:pPr>
        <w:pStyle w:val="58"/>
        <w:keepNext w:val="0"/>
        <w:keepLines w:val="0"/>
        <w:pageBreakBefore w:val="0"/>
        <w:widowControl/>
        <w:numPr>
          <w:ilvl w:val="0"/>
          <w:numId w:val="0"/>
        </w:numPr>
        <w:shd w:val="clear" w:color="auto" w:fill="FFFFFF"/>
        <w:kinsoku/>
        <w:overflowPunct/>
        <w:topLinePunct w:val="0"/>
        <w:bidi w:val="0"/>
        <w:adjustRightInd/>
        <w:snapToGrid/>
        <w:spacing w:line="360" w:lineRule="auto"/>
        <w:ind w:leftChars="0"/>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rPr>
        <w:t>5、</w:t>
      </w:r>
      <w:r>
        <w:rPr>
          <w:rFonts w:hint="eastAsia" w:ascii="宋体" w:hAnsi="宋体" w:eastAsia="宋体" w:cs="宋体"/>
          <w:kern w:val="0"/>
          <w:sz w:val="22"/>
          <w:szCs w:val="22"/>
          <w:highlight w:val="none"/>
        </w:rPr>
        <w:t>报名时间及地址：</w:t>
      </w:r>
    </w:p>
    <w:p>
      <w:pPr>
        <w:pStyle w:val="25"/>
        <w:keepNext w:val="0"/>
        <w:keepLines w:val="0"/>
        <w:pageBreakBefore w:val="0"/>
        <w:kinsoku/>
        <w:overflowPunct/>
        <w:topLinePunct w:val="0"/>
        <w:bidi w:val="0"/>
        <w:adjustRightInd/>
        <w:snapToGrid/>
        <w:spacing w:before="0" w:beforeAutospacing="0" w:after="0" w:afterAutospacing="0"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1）报名时间：自本公告公布日起至单一来源响应文件递交截止前，供应商均可报名（上午8:30-11:30 下午：14:30-16:30 双休日及法定节假日除外）。</w:t>
      </w:r>
    </w:p>
    <w:p>
      <w:pPr>
        <w:pStyle w:val="25"/>
        <w:keepNext w:val="0"/>
        <w:keepLines w:val="0"/>
        <w:pageBreakBefore w:val="0"/>
        <w:kinsoku/>
        <w:overflowPunct/>
        <w:topLinePunct w:val="0"/>
        <w:bidi w:val="0"/>
        <w:adjustRightInd/>
        <w:snapToGrid/>
        <w:spacing w:before="0" w:beforeAutospacing="0" w:after="0" w:afterAutospacing="0" w:line="360" w:lineRule="auto"/>
        <w:ind w:firstLine="435"/>
        <w:rPr>
          <w:rFonts w:hint="eastAsia" w:ascii="宋体" w:hAnsi="宋体" w:eastAsia="宋体" w:cs="宋体"/>
          <w:sz w:val="22"/>
          <w:szCs w:val="22"/>
          <w:highlight w:val="none"/>
        </w:rPr>
      </w:pPr>
      <w:r>
        <w:rPr>
          <w:rFonts w:hint="eastAsia" w:ascii="宋体" w:hAnsi="宋体" w:eastAsia="宋体" w:cs="宋体"/>
          <w:sz w:val="22"/>
          <w:szCs w:val="22"/>
          <w:highlight w:val="none"/>
        </w:rPr>
        <w:t>2）报名方式：网上报名/现场报名（报名网址：https://zfcg.czt.zj.gov.cn/）（未注册的供应商请尽早注册，客服电话：400-881-7190），供应商报名成功后自行下载采购文件，还须至采购代理机构办理购买采购文件事宜。</w:t>
      </w:r>
    </w:p>
    <w:p>
      <w:pPr>
        <w:pStyle w:val="25"/>
        <w:keepNext w:val="0"/>
        <w:keepLines w:val="0"/>
        <w:pageBreakBefore w:val="0"/>
        <w:kinsoku/>
        <w:overflowPunct/>
        <w:topLinePunct w:val="0"/>
        <w:bidi w:val="0"/>
        <w:adjustRightInd/>
        <w:snapToGrid/>
        <w:spacing w:before="0" w:beforeAutospacing="0" w:after="0" w:afterAutospacing="0" w:line="360" w:lineRule="auto"/>
        <w:ind w:firstLine="435"/>
        <w:rPr>
          <w:rFonts w:hint="eastAsia" w:ascii="宋体" w:hAnsi="宋体" w:eastAsia="宋体" w:cs="宋体"/>
          <w:sz w:val="22"/>
          <w:szCs w:val="22"/>
          <w:highlight w:val="none"/>
        </w:rPr>
      </w:pPr>
      <w:r>
        <w:rPr>
          <w:rFonts w:hint="eastAsia" w:ascii="宋体" w:hAnsi="宋体" w:eastAsia="宋体" w:cs="宋体"/>
          <w:sz w:val="22"/>
          <w:szCs w:val="22"/>
          <w:highlight w:val="none"/>
        </w:rPr>
        <w:t>3）现场报名地点：温州市鹿城区车站大道天和大厦A幢1501室。</w:t>
      </w:r>
    </w:p>
    <w:p>
      <w:pPr>
        <w:keepNext w:val="0"/>
        <w:keepLines w:val="0"/>
        <w:pageBreakBefore w:val="0"/>
        <w:tabs>
          <w:tab w:val="left" w:pos="420"/>
        </w:tabs>
        <w:kinsoku/>
        <w:overflowPunct/>
        <w:topLinePunct w:val="0"/>
        <w:bidi w:val="0"/>
        <w:adjustRightInd/>
        <w:snapToGrid/>
        <w:spacing w:line="360" w:lineRule="auto"/>
        <w:ind w:left="420"/>
        <w:rPr>
          <w:rFonts w:hint="eastAsia" w:ascii="宋体" w:hAnsi="宋体" w:eastAsia="宋体" w:cs="宋体"/>
          <w:color w:val="000000" w:themeColor="text1"/>
          <w:spacing w:val="40"/>
          <w:sz w:val="22"/>
          <w:szCs w:val="22"/>
          <w:highlight w:val="none"/>
          <w14:textFill>
            <w14:solidFill>
              <w14:schemeClr w14:val="tx1"/>
            </w14:solidFill>
          </w14:textFill>
        </w:rPr>
      </w:pPr>
      <w:r>
        <w:rPr>
          <w:rFonts w:hint="eastAsia" w:ascii="宋体" w:hAnsi="宋体" w:eastAsia="宋体" w:cs="宋体"/>
          <w:sz w:val="22"/>
          <w:szCs w:val="22"/>
          <w:highlight w:val="none"/>
        </w:rPr>
        <w:t>4）采购文件发售价格：人民币500元（售后不退）</w:t>
      </w:r>
    </w:p>
    <w:p>
      <w:pPr>
        <w:keepNext w:val="0"/>
        <w:keepLines w:val="0"/>
        <w:pageBreakBefore w:val="0"/>
        <w:numPr>
          <w:ilvl w:val="0"/>
          <w:numId w:val="0"/>
        </w:numPr>
        <w:kinsoku/>
        <w:overflowPunct/>
        <w:topLinePunct w:val="0"/>
        <w:bidi w:val="0"/>
        <w:adjustRightInd/>
        <w:snapToGrid/>
        <w:spacing w:line="360" w:lineRule="auto"/>
        <w:ind w:leftChars="0"/>
        <w:rPr>
          <w:rFonts w:hint="eastAsia" w:ascii="宋体" w:hAnsi="宋体" w:eastAsia="宋体" w:cs="宋体"/>
          <w:b/>
          <w:bCs/>
          <w:color w:val="000000" w:themeColor="text1"/>
          <w:spacing w:val="40"/>
          <w:sz w:val="22"/>
          <w:szCs w:val="22"/>
          <w:highlight w:val="none"/>
          <w14:textFill>
            <w14:solidFill>
              <w14:schemeClr w14:val="tx1"/>
            </w14:solidFill>
          </w14:textFill>
        </w:rPr>
      </w:pPr>
      <w:r>
        <w:rPr>
          <w:rFonts w:hint="eastAsia" w:ascii="宋体" w:hAnsi="宋体" w:eastAsia="宋体" w:cs="宋体"/>
          <w:b/>
          <w:bCs/>
          <w:color w:val="000000" w:themeColor="text1"/>
          <w:spacing w:val="40"/>
          <w:sz w:val="22"/>
          <w:szCs w:val="22"/>
          <w:highlight w:val="none"/>
          <w:lang w:val="en-US" w:eastAsia="zh-CN"/>
          <w14:textFill>
            <w14:solidFill>
              <w14:schemeClr w14:val="tx1"/>
            </w14:solidFill>
          </w14:textFill>
        </w:rPr>
        <w:t>6、</w:t>
      </w:r>
      <w:r>
        <w:rPr>
          <w:rFonts w:hint="eastAsia" w:ascii="宋体" w:hAnsi="宋体" w:eastAsia="宋体" w:cs="宋体"/>
          <w:b/>
          <w:bCs/>
          <w:color w:val="000000" w:themeColor="text1"/>
          <w:spacing w:val="40"/>
          <w:sz w:val="22"/>
          <w:szCs w:val="22"/>
          <w:highlight w:val="none"/>
          <w14:textFill>
            <w14:solidFill>
              <w14:schemeClr w14:val="tx1"/>
            </w14:solidFill>
          </w14:textFill>
        </w:rPr>
        <w:t>保证金：</w:t>
      </w:r>
    </w:p>
    <w:p>
      <w:pPr>
        <w:keepNext w:val="0"/>
        <w:keepLines w:val="0"/>
        <w:pageBreakBefore w:val="0"/>
        <w:widowControl/>
        <w:kinsoku/>
        <w:overflowPunct/>
        <w:topLinePunct w:val="0"/>
        <w:bidi w:val="0"/>
        <w:adjustRightInd/>
        <w:snapToGrid/>
        <w:spacing w:line="360" w:lineRule="auto"/>
        <w:ind w:right="60" w:firstLine="442" w:firstLineChars="200"/>
        <w:jc w:val="left"/>
        <w:rPr>
          <w:rFonts w:hint="eastAsia" w:ascii="宋体" w:hAnsi="宋体" w:eastAsia="宋体" w:cs="宋体"/>
          <w:b/>
          <w:bCs/>
          <w:color w:val="000000" w:themeColor="text1"/>
          <w:kern w:val="0"/>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14:textFill>
            <w14:solidFill>
              <w14:schemeClr w14:val="tx1"/>
            </w14:solidFill>
          </w14:textFill>
        </w:rPr>
        <w:t>保证金金额：</w:t>
      </w:r>
      <w:r>
        <w:rPr>
          <w:rStyle w:val="31"/>
          <w:rFonts w:hint="eastAsia" w:ascii="宋体" w:hAnsi="宋体" w:eastAsia="宋体" w:cs="宋体"/>
          <w:color w:val="000000"/>
          <w:sz w:val="22"/>
          <w:szCs w:val="22"/>
          <w:highlight w:val="none"/>
        </w:rPr>
        <w:t>▲</w:t>
      </w:r>
      <w:r>
        <w:rPr>
          <w:rStyle w:val="31"/>
          <w:rFonts w:hint="eastAsia" w:ascii="宋体" w:hAnsi="宋体" w:eastAsia="宋体" w:cs="宋体"/>
          <w:color w:val="000000"/>
          <w:sz w:val="22"/>
          <w:szCs w:val="22"/>
          <w:highlight w:val="none"/>
          <w:u w:val="single"/>
        </w:rPr>
        <w:t>人民币</w:t>
      </w:r>
      <w:r>
        <w:rPr>
          <w:rStyle w:val="31"/>
          <w:rFonts w:hint="eastAsia" w:ascii="宋体" w:hAnsi="宋体" w:eastAsia="宋体" w:cs="宋体"/>
          <w:color w:val="000000"/>
          <w:sz w:val="22"/>
          <w:szCs w:val="22"/>
          <w:highlight w:val="none"/>
          <w:u w:val="single"/>
          <w:lang w:val="en-US" w:eastAsia="zh-CN"/>
        </w:rPr>
        <w:t>肆</w:t>
      </w:r>
      <w:r>
        <w:rPr>
          <w:rStyle w:val="31"/>
          <w:rFonts w:hint="eastAsia" w:ascii="宋体" w:hAnsi="宋体" w:eastAsia="宋体" w:cs="宋体"/>
          <w:color w:val="000000"/>
          <w:sz w:val="22"/>
          <w:szCs w:val="22"/>
          <w:highlight w:val="none"/>
          <w:u w:val="single"/>
        </w:rPr>
        <w:t>仟</w:t>
      </w:r>
      <w:r>
        <w:rPr>
          <w:rStyle w:val="31"/>
          <w:rFonts w:hint="eastAsia" w:ascii="宋体" w:hAnsi="宋体" w:eastAsia="宋体" w:cs="宋体"/>
          <w:color w:val="000000"/>
          <w:sz w:val="22"/>
          <w:szCs w:val="22"/>
          <w:highlight w:val="none"/>
          <w:u w:val="single"/>
          <w:lang w:val="en-US" w:eastAsia="zh-CN"/>
        </w:rPr>
        <w:t>捌</w:t>
      </w:r>
      <w:r>
        <w:rPr>
          <w:rStyle w:val="31"/>
          <w:rFonts w:hint="eastAsia" w:ascii="宋体" w:hAnsi="宋体" w:eastAsia="宋体" w:cs="宋体"/>
          <w:color w:val="000000"/>
          <w:sz w:val="22"/>
          <w:szCs w:val="22"/>
          <w:highlight w:val="none"/>
          <w:u w:val="single"/>
        </w:rPr>
        <w:t>佰元整（供应商须在单一来源响应文件提交截止时间前将保证金以银行转帐形式缴纳并到帐，汇出账号须为供应商银行帐户）</w:t>
      </w:r>
    </w:p>
    <w:p>
      <w:pPr>
        <w:keepNext w:val="0"/>
        <w:keepLines w:val="0"/>
        <w:pageBreakBefore w:val="0"/>
        <w:widowControl/>
        <w:kinsoku/>
        <w:overflowPunct/>
        <w:topLinePunct w:val="0"/>
        <w:bidi w:val="0"/>
        <w:adjustRightInd/>
        <w:snapToGrid/>
        <w:spacing w:line="360" w:lineRule="auto"/>
        <w:ind w:left="420"/>
        <w:jc w:val="left"/>
        <w:rPr>
          <w:rFonts w:hint="eastAsia" w:ascii="宋体" w:hAnsi="宋体" w:eastAsia="宋体" w:cs="宋体"/>
          <w:b/>
          <w:color w:val="000000" w:themeColor="text1"/>
          <w:kern w:val="0"/>
          <w:sz w:val="22"/>
          <w:szCs w:val="22"/>
          <w:highlight w:val="none"/>
          <w14:textFill>
            <w14:solidFill>
              <w14:schemeClr w14:val="tx1"/>
            </w14:solidFill>
          </w14:textFill>
        </w:rPr>
      </w:pPr>
      <w:r>
        <w:rPr>
          <w:rFonts w:hint="eastAsia" w:ascii="宋体" w:hAnsi="宋体" w:eastAsia="宋体" w:cs="宋体"/>
          <w:b/>
          <w:color w:val="000000" w:themeColor="text1"/>
          <w:kern w:val="0"/>
          <w:sz w:val="22"/>
          <w:szCs w:val="22"/>
          <w:highlight w:val="none"/>
          <w14:textFill>
            <w14:solidFill>
              <w14:schemeClr w14:val="tx1"/>
            </w14:solidFill>
          </w14:textFill>
        </w:rPr>
        <w:t>户名：政采云有限公司</w:t>
      </w:r>
    </w:p>
    <w:p>
      <w:pPr>
        <w:keepNext w:val="0"/>
        <w:keepLines w:val="0"/>
        <w:pageBreakBefore w:val="0"/>
        <w:kinsoku/>
        <w:wordWrap w:val="0"/>
        <w:overflowPunct/>
        <w:topLinePunct w:val="0"/>
        <w:bidi w:val="0"/>
        <w:adjustRightInd/>
        <w:snapToGrid/>
        <w:spacing w:line="360" w:lineRule="auto"/>
        <w:ind w:firstLine="433" w:firstLineChars="196"/>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kern w:val="0"/>
          <w:sz w:val="22"/>
          <w:szCs w:val="22"/>
          <w:highlight w:val="none"/>
          <w14:textFill>
            <w14:solidFill>
              <w14:schemeClr w14:val="tx1"/>
            </w14:solidFill>
          </w14:textFill>
        </w:rPr>
        <w:t>开户银行：中国农业银行杭州西湖支行</w:t>
      </w:r>
    </w:p>
    <w:p>
      <w:pPr>
        <w:keepNext w:val="0"/>
        <w:keepLines w:val="0"/>
        <w:pageBreakBefore w:val="0"/>
        <w:kinsoku/>
        <w:wordWrap w:val="0"/>
        <w:overflowPunct/>
        <w:topLinePunct w:val="0"/>
        <w:bidi w:val="0"/>
        <w:adjustRightInd/>
        <w:snapToGrid/>
        <w:spacing w:line="360" w:lineRule="auto"/>
        <w:ind w:firstLine="433" w:firstLineChars="196"/>
        <w:rPr>
          <w:rFonts w:hint="eastAsia" w:ascii="宋体" w:hAnsi="宋体" w:eastAsia="宋体" w:cs="宋体"/>
          <w:b/>
          <w:color w:val="000000" w:themeColor="text1"/>
          <w:kern w:val="0"/>
          <w:sz w:val="22"/>
          <w:szCs w:val="22"/>
          <w:highlight w:val="none"/>
          <w14:textFill>
            <w14:solidFill>
              <w14:schemeClr w14:val="tx1"/>
            </w14:solidFill>
          </w14:textFill>
        </w:rPr>
      </w:pPr>
      <w:r>
        <w:rPr>
          <w:rFonts w:hint="eastAsia" w:ascii="宋体" w:hAnsi="宋体" w:eastAsia="宋体" w:cs="宋体"/>
          <w:b/>
          <w:color w:val="000000" w:themeColor="text1"/>
          <w:kern w:val="0"/>
          <w:sz w:val="22"/>
          <w:szCs w:val="22"/>
          <w:highlight w:val="none"/>
          <w14:textFill>
            <w14:solidFill>
              <w14:schemeClr w14:val="tx1"/>
            </w14:solidFill>
          </w14:textFill>
        </w:rPr>
        <w:t>银行账号：190001010400276210000003344</w:t>
      </w:r>
    </w:p>
    <w:p>
      <w:pPr>
        <w:keepNext w:val="0"/>
        <w:keepLines w:val="0"/>
        <w:pageBreakBefore w:val="0"/>
        <w:numPr>
          <w:ilvl w:val="0"/>
          <w:numId w:val="0"/>
        </w:numPr>
        <w:kinsoku/>
        <w:overflowPunct/>
        <w:topLinePunct w:val="0"/>
        <w:bidi w:val="0"/>
        <w:adjustRightInd/>
        <w:snapToGrid/>
        <w:spacing w:line="360" w:lineRule="auto"/>
        <w:ind w:leftChars="0"/>
        <w:rPr>
          <w:rFonts w:hint="eastAsia" w:ascii="宋体" w:hAnsi="宋体" w:eastAsia="宋体" w:cs="宋体"/>
          <w:color w:val="000000" w:themeColor="text1"/>
          <w:spacing w:val="40"/>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7、</w:t>
      </w:r>
      <w:r>
        <w:rPr>
          <w:rFonts w:hint="eastAsia" w:ascii="宋体" w:hAnsi="宋体" w:eastAsia="宋体" w:cs="宋体"/>
          <w:bCs/>
          <w:color w:val="000000" w:themeColor="text1"/>
          <w:sz w:val="22"/>
          <w:szCs w:val="22"/>
          <w:highlight w:val="none"/>
          <w14:textFill>
            <w14:solidFill>
              <w14:schemeClr w14:val="tx1"/>
            </w14:solidFill>
          </w14:textFill>
        </w:rPr>
        <w:t>单一来源响应文件递交截止时间：</w:t>
      </w:r>
      <w:r>
        <w:rPr>
          <w:rFonts w:hint="eastAsia" w:ascii="宋体" w:hAnsi="宋体" w:eastAsia="宋体" w:cs="宋体"/>
          <w:b/>
          <w:bCs/>
          <w:color w:val="000000" w:themeColor="text1"/>
          <w:sz w:val="22"/>
          <w:szCs w:val="22"/>
          <w:highlight w:val="none"/>
          <w14:textFill>
            <w14:solidFill>
              <w14:schemeClr w14:val="tx1"/>
            </w14:solidFill>
          </w14:textFill>
        </w:rPr>
        <w:t>▲</w:t>
      </w:r>
      <w:r>
        <w:rPr>
          <w:rFonts w:hint="eastAsia" w:ascii="宋体" w:hAnsi="宋体" w:eastAsia="宋体" w:cs="宋体"/>
          <w:b/>
          <w:bCs/>
          <w:color w:val="000000" w:themeColor="text1"/>
          <w:sz w:val="22"/>
          <w:szCs w:val="22"/>
          <w:highlight w:val="none"/>
          <w:u w:val="single"/>
          <w14:textFill>
            <w14:solidFill>
              <w14:schemeClr w14:val="tx1"/>
            </w14:solidFill>
          </w14:textFill>
        </w:rPr>
        <w:t>202</w:t>
      </w:r>
      <w:r>
        <w:rPr>
          <w:rFonts w:hint="eastAsia" w:ascii="宋体" w:hAnsi="宋体" w:eastAsia="宋体" w:cs="宋体"/>
          <w:b/>
          <w:bCs/>
          <w:color w:val="000000" w:themeColor="text1"/>
          <w:sz w:val="22"/>
          <w:szCs w:val="22"/>
          <w:highlight w:val="none"/>
          <w:u w:val="single"/>
          <w:lang w:val="en-US" w:eastAsia="zh-CN"/>
          <w14:textFill>
            <w14:solidFill>
              <w14:schemeClr w14:val="tx1"/>
            </w14:solidFill>
          </w14:textFill>
        </w:rPr>
        <w:t>2</w:t>
      </w:r>
      <w:r>
        <w:rPr>
          <w:rFonts w:hint="eastAsia" w:ascii="宋体" w:hAnsi="宋体" w:eastAsia="宋体" w:cs="宋体"/>
          <w:b/>
          <w:bCs/>
          <w:color w:val="000000" w:themeColor="text1"/>
          <w:sz w:val="22"/>
          <w:szCs w:val="22"/>
          <w:highlight w:val="none"/>
          <w:u w:val="single"/>
          <w14:textFill>
            <w14:solidFill>
              <w14:schemeClr w14:val="tx1"/>
            </w14:solidFill>
          </w14:textFill>
        </w:rPr>
        <w:t>年</w:t>
      </w:r>
      <w:r>
        <w:rPr>
          <w:rFonts w:hint="eastAsia" w:ascii="宋体" w:hAnsi="宋体" w:eastAsia="宋体" w:cs="宋体"/>
          <w:b/>
          <w:bCs/>
          <w:color w:val="000000" w:themeColor="text1"/>
          <w:sz w:val="22"/>
          <w:szCs w:val="22"/>
          <w:highlight w:val="none"/>
          <w:u w:val="single"/>
          <w:lang w:val="en-US" w:eastAsia="zh-CN"/>
          <w14:textFill>
            <w14:solidFill>
              <w14:schemeClr w14:val="tx1"/>
            </w14:solidFill>
          </w14:textFill>
        </w:rPr>
        <w:t>06</w:t>
      </w:r>
      <w:r>
        <w:rPr>
          <w:rFonts w:hint="eastAsia" w:ascii="宋体" w:hAnsi="宋体" w:eastAsia="宋体" w:cs="宋体"/>
          <w:b/>
          <w:bCs/>
          <w:color w:val="000000" w:themeColor="text1"/>
          <w:sz w:val="22"/>
          <w:szCs w:val="22"/>
          <w:highlight w:val="none"/>
          <w:u w:val="single"/>
          <w14:textFill>
            <w14:solidFill>
              <w14:schemeClr w14:val="tx1"/>
            </w14:solidFill>
          </w14:textFill>
        </w:rPr>
        <w:t>月</w:t>
      </w:r>
      <w:r>
        <w:rPr>
          <w:rFonts w:hint="eastAsia" w:ascii="宋体" w:hAnsi="宋体" w:eastAsia="宋体" w:cs="宋体"/>
          <w:b/>
          <w:bCs/>
          <w:color w:val="000000" w:themeColor="text1"/>
          <w:sz w:val="22"/>
          <w:szCs w:val="22"/>
          <w:highlight w:val="none"/>
          <w:u w:val="single"/>
          <w:lang w:val="en-US" w:eastAsia="zh-CN"/>
          <w14:textFill>
            <w14:solidFill>
              <w14:schemeClr w14:val="tx1"/>
            </w14:solidFill>
          </w14:textFill>
        </w:rPr>
        <w:t>09</w:t>
      </w:r>
      <w:r>
        <w:rPr>
          <w:rFonts w:hint="eastAsia" w:ascii="宋体" w:hAnsi="宋体" w:eastAsia="宋体" w:cs="宋体"/>
          <w:b/>
          <w:bCs/>
          <w:color w:val="000000" w:themeColor="text1"/>
          <w:sz w:val="22"/>
          <w:szCs w:val="22"/>
          <w:highlight w:val="none"/>
          <w:u w:val="single"/>
          <w14:textFill>
            <w14:solidFill>
              <w14:schemeClr w14:val="tx1"/>
            </w14:solidFill>
          </w14:textFill>
        </w:rPr>
        <w:t>日</w:t>
      </w:r>
      <w:r>
        <w:rPr>
          <w:rFonts w:hint="eastAsia" w:ascii="宋体" w:hAnsi="宋体" w:eastAsia="宋体" w:cs="宋体"/>
          <w:b/>
          <w:bCs/>
          <w:color w:val="000000" w:themeColor="text1"/>
          <w:sz w:val="22"/>
          <w:szCs w:val="22"/>
          <w:highlight w:val="none"/>
          <w:u w:val="single"/>
          <w:lang w:val="en-US" w:eastAsia="zh-CN"/>
          <w14:textFill>
            <w14:solidFill>
              <w14:schemeClr w14:val="tx1"/>
            </w14:solidFill>
          </w14:textFill>
        </w:rPr>
        <w:t>14时00分</w:t>
      </w:r>
      <w:r>
        <w:rPr>
          <w:rFonts w:hint="eastAsia" w:ascii="宋体" w:hAnsi="宋体" w:eastAsia="宋体" w:cs="宋体"/>
          <w:bCs/>
          <w:color w:val="000000" w:themeColor="text1"/>
          <w:sz w:val="22"/>
          <w:szCs w:val="22"/>
          <w:highlight w:val="none"/>
          <w14:textFill>
            <w14:solidFill>
              <w14:schemeClr w14:val="tx1"/>
            </w14:solidFill>
          </w14:textFill>
        </w:rPr>
        <w:t>；</w:t>
      </w:r>
    </w:p>
    <w:p>
      <w:pPr>
        <w:keepNext w:val="0"/>
        <w:keepLines w:val="0"/>
        <w:pageBreakBefore w:val="0"/>
        <w:widowControl/>
        <w:tabs>
          <w:tab w:val="left" w:pos="-360"/>
        </w:tabs>
        <w:kinsoku/>
        <w:overflowPunct/>
        <w:topLinePunct w:val="0"/>
        <w:autoSpaceDE w:val="0"/>
        <w:autoSpaceDN w:val="0"/>
        <w:bidi w:val="0"/>
        <w:adjustRightInd/>
        <w:snapToGrid/>
        <w:spacing w:line="360" w:lineRule="auto"/>
        <w:ind w:left="439" w:leftChars="209" w:right="-34"/>
        <w:textAlignment w:val="bottom"/>
        <w:rPr>
          <w:rFonts w:hint="eastAsia" w:ascii="宋体" w:hAnsi="宋体" w:eastAsia="宋体" w:cs="宋体"/>
          <w:bCs/>
          <w:color w:val="000000" w:themeColor="text1"/>
          <w:sz w:val="22"/>
          <w:szCs w:val="22"/>
          <w:highlight w:val="none"/>
          <w:lang w:eastAsia="zh-CN"/>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递交地点：</w:t>
      </w:r>
      <w:r>
        <w:rPr>
          <w:rFonts w:hint="eastAsia" w:ascii="宋体" w:hAnsi="宋体" w:eastAsia="宋体" w:cs="宋体"/>
          <w:bCs/>
          <w:color w:val="000000" w:themeColor="text1"/>
          <w:sz w:val="22"/>
          <w:szCs w:val="22"/>
          <w:highlight w:val="none"/>
          <w:lang w:eastAsia="zh-CN"/>
          <w14:textFill>
            <w14:solidFill>
              <w14:schemeClr w14:val="tx1"/>
            </w14:solidFill>
          </w14:textFill>
        </w:rPr>
        <w:t>浙江东方职业技术学院行政楼516会议室（温州市经开区金海三道433号）</w:t>
      </w:r>
    </w:p>
    <w:p>
      <w:pPr>
        <w:keepNext w:val="0"/>
        <w:keepLines w:val="0"/>
        <w:pageBreakBefore w:val="0"/>
        <w:numPr>
          <w:ilvl w:val="0"/>
          <w:numId w:val="0"/>
        </w:numPr>
        <w:kinsoku/>
        <w:overflowPunct/>
        <w:topLinePunct w:val="0"/>
        <w:bidi w:val="0"/>
        <w:adjustRightInd/>
        <w:snapToGrid/>
        <w:spacing w:line="360" w:lineRule="auto"/>
        <w:ind w:leftChars="0"/>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8、</w:t>
      </w:r>
      <w:r>
        <w:rPr>
          <w:rFonts w:hint="eastAsia" w:ascii="宋体" w:hAnsi="宋体" w:eastAsia="宋体" w:cs="宋体"/>
          <w:bCs/>
          <w:color w:val="000000" w:themeColor="text1"/>
          <w:sz w:val="22"/>
          <w:szCs w:val="22"/>
          <w:highlight w:val="none"/>
          <w14:textFill>
            <w14:solidFill>
              <w14:schemeClr w14:val="tx1"/>
            </w14:solidFill>
          </w14:textFill>
        </w:rPr>
        <w:t>开标时间：</w:t>
      </w:r>
      <w:r>
        <w:rPr>
          <w:rFonts w:hint="eastAsia" w:ascii="宋体" w:hAnsi="宋体" w:eastAsia="宋体" w:cs="宋体"/>
          <w:b/>
          <w:bCs/>
          <w:color w:val="000000" w:themeColor="text1"/>
          <w:sz w:val="22"/>
          <w:szCs w:val="22"/>
          <w:highlight w:val="none"/>
          <w14:textFill>
            <w14:solidFill>
              <w14:schemeClr w14:val="tx1"/>
            </w14:solidFill>
          </w14:textFill>
        </w:rPr>
        <w:t>▲</w:t>
      </w:r>
      <w:r>
        <w:rPr>
          <w:rFonts w:hint="eastAsia" w:ascii="宋体" w:hAnsi="宋体" w:eastAsia="宋体" w:cs="宋体"/>
          <w:b/>
          <w:bCs/>
          <w:color w:val="000000" w:themeColor="text1"/>
          <w:sz w:val="22"/>
          <w:szCs w:val="22"/>
          <w:highlight w:val="none"/>
          <w:u w:val="single"/>
          <w14:textFill>
            <w14:solidFill>
              <w14:schemeClr w14:val="tx1"/>
            </w14:solidFill>
          </w14:textFill>
        </w:rPr>
        <w:t>202</w:t>
      </w:r>
      <w:r>
        <w:rPr>
          <w:rFonts w:hint="eastAsia" w:ascii="宋体" w:hAnsi="宋体" w:eastAsia="宋体" w:cs="宋体"/>
          <w:b/>
          <w:bCs/>
          <w:color w:val="000000" w:themeColor="text1"/>
          <w:sz w:val="22"/>
          <w:szCs w:val="22"/>
          <w:highlight w:val="none"/>
          <w:u w:val="single"/>
          <w:lang w:val="en-US" w:eastAsia="zh-CN"/>
          <w14:textFill>
            <w14:solidFill>
              <w14:schemeClr w14:val="tx1"/>
            </w14:solidFill>
          </w14:textFill>
        </w:rPr>
        <w:t>2</w:t>
      </w:r>
      <w:r>
        <w:rPr>
          <w:rFonts w:hint="eastAsia" w:ascii="宋体" w:hAnsi="宋体" w:eastAsia="宋体" w:cs="宋体"/>
          <w:b/>
          <w:bCs/>
          <w:color w:val="000000" w:themeColor="text1"/>
          <w:sz w:val="22"/>
          <w:szCs w:val="22"/>
          <w:highlight w:val="none"/>
          <w:u w:val="single"/>
          <w14:textFill>
            <w14:solidFill>
              <w14:schemeClr w14:val="tx1"/>
            </w14:solidFill>
          </w14:textFill>
        </w:rPr>
        <w:t>年</w:t>
      </w:r>
      <w:r>
        <w:rPr>
          <w:rFonts w:hint="eastAsia" w:ascii="宋体" w:hAnsi="宋体" w:eastAsia="宋体" w:cs="宋体"/>
          <w:b/>
          <w:bCs/>
          <w:color w:val="000000" w:themeColor="text1"/>
          <w:sz w:val="22"/>
          <w:szCs w:val="22"/>
          <w:highlight w:val="none"/>
          <w:u w:val="single"/>
          <w:lang w:val="en-US" w:eastAsia="zh-CN"/>
          <w14:textFill>
            <w14:solidFill>
              <w14:schemeClr w14:val="tx1"/>
            </w14:solidFill>
          </w14:textFill>
        </w:rPr>
        <w:t>06</w:t>
      </w:r>
      <w:r>
        <w:rPr>
          <w:rFonts w:hint="eastAsia" w:ascii="宋体" w:hAnsi="宋体" w:eastAsia="宋体" w:cs="宋体"/>
          <w:b/>
          <w:bCs/>
          <w:color w:val="000000" w:themeColor="text1"/>
          <w:sz w:val="22"/>
          <w:szCs w:val="22"/>
          <w:highlight w:val="none"/>
          <w:u w:val="single"/>
          <w14:textFill>
            <w14:solidFill>
              <w14:schemeClr w14:val="tx1"/>
            </w14:solidFill>
          </w14:textFill>
        </w:rPr>
        <w:t>月</w:t>
      </w:r>
      <w:r>
        <w:rPr>
          <w:rFonts w:hint="eastAsia" w:ascii="宋体" w:hAnsi="宋体" w:eastAsia="宋体" w:cs="宋体"/>
          <w:b/>
          <w:bCs/>
          <w:color w:val="000000" w:themeColor="text1"/>
          <w:sz w:val="22"/>
          <w:szCs w:val="22"/>
          <w:highlight w:val="none"/>
          <w:u w:val="single"/>
          <w:lang w:val="en-US" w:eastAsia="zh-CN"/>
          <w14:textFill>
            <w14:solidFill>
              <w14:schemeClr w14:val="tx1"/>
            </w14:solidFill>
          </w14:textFill>
        </w:rPr>
        <w:t>09</w:t>
      </w:r>
      <w:r>
        <w:rPr>
          <w:rFonts w:hint="eastAsia" w:ascii="宋体" w:hAnsi="宋体" w:eastAsia="宋体" w:cs="宋体"/>
          <w:b/>
          <w:bCs/>
          <w:color w:val="000000" w:themeColor="text1"/>
          <w:sz w:val="22"/>
          <w:szCs w:val="22"/>
          <w:highlight w:val="none"/>
          <w:u w:val="single"/>
          <w14:textFill>
            <w14:solidFill>
              <w14:schemeClr w14:val="tx1"/>
            </w14:solidFill>
          </w14:textFill>
        </w:rPr>
        <w:t>日</w:t>
      </w:r>
      <w:r>
        <w:rPr>
          <w:rFonts w:hint="eastAsia" w:ascii="宋体" w:hAnsi="宋体" w:eastAsia="宋体" w:cs="宋体"/>
          <w:b/>
          <w:bCs/>
          <w:color w:val="000000" w:themeColor="text1"/>
          <w:sz w:val="22"/>
          <w:szCs w:val="22"/>
          <w:highlight w:val="none"/>
          <w:u w:val="single"/>
          <w:lang w:val="en-US" w:eastAsia="zh-CN"/>
          <w14:textFill>
            <w14:solidFill>
              <w14:schemeClr w14:val="tx1"/>
            </w14:solidFill>
          </w14:textFill>
        </w:rPr>
        <w:t>14时00分</w:t>
      </w:r>
      <w:r>
        <w:rPr>
          <w:rFonts w:hint="eastAsia" w:ascii="宋体" w:hAnsi="宋体" w:eastAsia="宋体" w:cs="宋体"/>
          <w:bCs/>
          <w:color w:val="000000" w:themeColor="text1"/>
          <w:sz w:val="22"/>
          <w:szCs w:val="22"/>
          <w:highlight w:val="none"/>
          <w14:textFill>
            <w14:solidFill>
              <w14:schemeClr w14:val="tx1"/>
            </w14:solidFill>
          </w14:textFill>
        </w:rPr>
        <w:t>；</w:t>
      </w:r>
    </w:p>
    <w:p>
      <w:pPr>
        <w:keepNext w:val="0"/>
        <w:keepLines w:val="0"/>
        <w:pageBreakBefore w:val="0"/>
        <w:widowControl/>
        <w:tabs>
          <w:tab w:val="left" w:pos="-360"/>
        </w:tabs>
        <w:kinsoku/>
        <w:overflowPunct/>
        <w:topLinePunct w:val="0"/>
        <w:autoSpaceDE w:val="0"/>
        <w:autoSpaceDN w:val="0"/>
        <w:bidi w:val="0"/>
        <w:adjustRightInd/>
        <w:snapToGrid/>
        <w:spacing w:line="360" w:lineRule="auto"/>
        <w:ind w:left="416" w:leftChars="198" w:right="-6"/>
        <w:textAlignment w:val="bottom"/>
        <w:rPr>
          <w:rFonts w:hint="eastAsia" w:ascii="宋体" w:hAnsi="宋体" w:eastAsia="宋体" w:cs="宋体"/>
          <w:bCs/>
          <w:color w:val="000000" w:themeColor="text1"/>
          <w:sz w:val="22"/>
          <w:szCs w:val="22"/>
          <w:highlight w:val="none"/>
          <w:lang w:eastAsia="zh-CN"/>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开标地点：</w:t>
      </w:r>
      <w:r>
        <w:rPr>
          <w:rFonts w:hint="eastAsia" w:ascii="宋体" w:hAnsi="宋体" w:eastAsia="宋体" w:cs="宋体"/>
          <w:bCs/>
          <w:color w:val="000000" w:themeColor="text1"/>
          <w:sz w:val="22"/>
          <w:szCs w:val="22"/>
          <w:highlight w:val="none"/>
          <w:lang w:eastAsia="zh-CN"/>
          <w14:textFill>
            <w14:solidFill>
              <w14:schemeClr w14:val="tx1"/>
            </w14:solidFill>
          </w14:textFill>
        </w:rPr>
        <w:t>浙江东方职业技术学院行政楼516会议室（温州市经开区金海三道433号）</w:t>
      </w:r>
    </w:p>
    <w:p>
      <w:pPr>
        <w:keepNext w:val="0"/>
        <w:keepLines w:val="0"/>
        <w:pageBreakBefore w:val="0"/>
        <w:numPr>
          <w:ilvl w:val="0"/>
          <w:numId w:val="0"/>
        </w:numPr>
        <w:kinsoku/>
        <w:overflowPunct/>
        <w:topLinePunct w:val="0"/>
        <w:bidi w:val="0"/>
        <w:adjustRightInd/>
        <w:snapToGrid/>
        <w:spacing w:line="360" w:lineRule="auto"/>
        <w:ind w:leftChars="0"/>
        <w:rPr>
          <w:rFonts w:hint="eastAsia" w:ascii="宋体" w:hAnsi="宋体" w:eastAsia="宋体" w:cs="宋体"/>
          <w:color w:val="000000" w:themeColor="text1"/>
          <w:spacing w:val="40"/>
          <w:sz w:val="22"/>
          <w:szCs w:val="22"/>
          <w:highlight w:val="none"/>
          <w14:textFill>
            <w14:solidFill>
              <w14:schemeClr w14:val="tx1"/>
            </w14:solidFill>
          </w14:textFill>
        </w:rPr>
      </w:pPr>
      <w:r>
        <w:rPr>
          <w:rFonts w:hint="eastAsia" w:ascii="宋体" w:hAnsi="宋体" w:eastAsia="宋体" w:cs="宋体"/>
          <w:color w:val="000000" w:themeColor="text1"/>
          <w:spacing w:val="6"/>
          <w:sz w:val="22"/>
          <w:szCs w:val="22"/>
          <w:highlight w:val="none"/>
          <w:lang w:val="en-US" w:eastAsia="zh-CN"/>
          <w14:textFill>
            <w14:solidFill>
              <w14:schemeClr w14:val="tx1"/>
            </w14:solidFill>
          </w14:textFill>
        </w:rPr>
        <w:t>9、</w:t>
      </w:r>
      <w:r>
        <w:rPr>
          <w:rFonts w:hint="eastAsia" w:ascii="宋体" w:hAnsi="宋体" w:eastAsia="宋体" w:cs="宋体"/>
          <w:color w:val="000000" w:themeColor="text1"/>
          <w:spacing w:val="6"/>
          <w:sz w:val="22"/>
          <w:szCs w:val="22"/>
          <w:highlight w:val="none"/>
          <w14:textFill>
            <w14:solidFill>
              <w14:schemeClr w14:val="tx1"/>
            </w14:solidFill>
          </w14:textFill>
        </w:rPr>
        <w:t>采购人</w:t>
      </w:r>
      <w:r>
        <w:rPr>
          <w:rFonts w:hint="eastAsia" w:ascii="宋体" w:hAnsi="宋体" w:eastAsia="宋体" w:cs="宋体"/>
          <w:color w:val="000000" w:themeColor="text1"/>
          <w:spacing w:val="40"/>
          <w:sz w:val="22"/>
          <w:szCs w:val="22"/>
          <w:highlight w:val="none"/>
          <w14:textFill>
            <w14:solidFill>
              <w14:schemeClr w14:val="tx1"/>
            </w14:solidFill>
          </w14:textFill>
        </w:rPr>
        <w:t>：</w:t>
      </w:r>
      <w:r>
        <w:rPr>
          <w:rFonts w:hint="eastAsia" w:ascii="宋体" w:hAnsi="宋体" w:eastAsia="宋体" w:cs="宋体"/>
          <w:color w:val="000000" w:themeColor="text1"/>
          <w:sz w:val="22"/>
          <w:szCs w:val="22"/>
          <w:highlight w:val="none"/>
          <w:lang w:eastAsia="zh-CN"/>
          <w14:textFill>
            <w14:solidFill>
              <w14:schemeClr w14:val="tx1"/>
            </w14:solidFill>
          </w14:textFill>
        </w:rPr>
        <w:t>浙江东方职业技术学院</w:t>
      </w:r>
    </w:p>
    <w:p>
      <w:pPr>
        <w:pStyle w:val="25"/>
        <w:keepNext w:val="0"/>
        <w:keepLines w:val="0"/>
        <w:pageBreakBefore w:val="0"/>
        <w:kinsoku/>
        <w:overflowPunct/>
        <w:topLinePunct w:val="0"/>
        <w:bidi w:val="0"/>
        <w:adjustRightInd/>
        <w:snapToGrid/>
        <w:spacing w:before="0" w:beforeAutospacing="0" w:after="0" w:afterAutospacing="0" w:line="360" w:lineRule="auto"/>
        <w:ind w:left="420"/>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rPr>
        <w:t>地址：</w:t>
      </w:r>
      <w:r>
        <w:rPr>
          <w:rFonts w:hint="eastAsia" w:ascii="宋体" w:hAnsi="宋体" w:eastAsia="宋体" w:cs="宋体"/>
          <w:color w:val="000000"/>
          <w:sz w:val="22"/>
          <w:szCs w:val="22"/>
          <w:highlight w:val="none"/>
          <w:lang w:eastAsia="zh-CN"/>
        </w:rPr>
        <w:t>温州市经开区金海三道433号</w:t>
      </w:r>
    </w:p>
    <w:p>
      <w:pPr>
        <w:pStyle w:val="25"/>
        <w:keepNext w:val="0"/>
        <w:keepLines w:val="0"/>
        <w:pageBreakBefore w:val="0"/>
        <w:kinsoku/>
        <w:overflowPunct/>
        <w:topLinePunct w:val="0"/>
        <w:bidi w:val="0"/>
        <w:adjustRightInd/>
        <w:snapToGrid/>
        <w:spacing w:before="0" w:beforeAutospacing="0" w:after="0" w:afterAutospacing="0" w:line="360" w:lineRule="auto"/>
        <w:ind w:left="420"/>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rPr>
        <w:t>联系人：</w:t>
      </w:r>
      <w:r>
        <w:rPr>
          <w:rFonts w:hint="eastAsia" w:ascii="宋体" w:hAnsi="宋体" w:eastAsia="宋体" w:cs="宋体"/>
          <w:color w:val="000000"/>
          <w:sz w:val="22"/>
          <w:szCs w:val="22"/>
          <w:highlight w:val="none"/>
          <w:lang w:val="en-US" w:eastAsia="zh-CN"/>
        </w:rPr>
        <w:t>张老师</w:t>
      </w:r>
    </w:p>
    <w:p>
      <w:pPr>
        <w:pStyle w:val="25"/>
        <w:keepNext w:val="0"/>
        <w:keepLines w:val="0"/>
        <w:pageBreakBefore w:val="0"/>
        <w:kinsoku/>
        <w:overflowPunct/>
        <w:topLinePunct w:val="0"/>
        <w:bidi w:val="0"/>
        <w:adjustRightInd/>
        <w:snapToGrid/>
        <w:spacing w:before="0" w:beforeAutospacing="0" w:after="0" w:afterAutospacing="0" w:line="360" w:lineRule="auto"/>
        <w:ind w:left="420"/>
        <w:rPr>
          <w:rFonts w:hint="eastAsia" w:ascii="宋体" w:hAnsi="宋体" w:eastAsia="宋体" w:cs="宋体"/>
          <w:color w:val="000000"/>
          <w:sz w:val="22"/>
          <w:szCs w:val="22"/>
          <w:highlight w:val="none"/>
          <w:lang w:val="en-US"/>
        </w:rPr>
      </w:pPr>
      <w:r>
        <w:rPr>
          <w:rFonts w:hint="eastAsia" w:ascii="宋体" w:hAnsi="宋体" w:eastAsia="宋体" w:cs="宋体"/>
          <w:color w:val="000000"/>
          <w:sz w:val="22"/>
          <w:szCs w:val="22"/>
          <w:highlight w:val="none"/>
        </w:rPr>
        <w:t>联系电话：</w:t>
      </w:r>
      <w:r>
        <w:rPr>
          <w:rFonts w:hint="eastAsia" w:ascii="宋体" w:hAnsi="宋体" w:eastAsia="宋体" w:cs="宋体"/>
          <w:color w:val="000000"/>
          <w:sz w:val="22"/>
          <w:szCs w:val="22"/>
          <w:highlight w:val="none"/>
          <w:lang w:val="en-US" w:eastAsia="zh-CN"/>
        </w:rPr>
        <w:t>0577-86561078</w:t>
      </w:r>
    </w:p>
    <w:p>
      <w:pPr>
        <w:pStyle w:val="25"/>
        <w:keepNext w:val="0"/>
        <w:keepLines w:val="0"/>
        <w:pageBreakBefore w:val="0"/>
        <w:kinsoku/>
        <w:overflowPunct/>
        <w:topLinePunct w:val="0"/>
        <w:bidi w:val="0"/>
        <w:adjustRightInd/>
        <w:snapToGrid/>
        <w:spacing w:before="0" w:beforeAutospacing="0" w:after="0" w:afterAutospacing="0" w:line="360" w:lineRule="auto"/>
        <w:ind w:left="420"/>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采购代理机构：浙江创嘉项目管理有限公司</w:t>
      </w:r>
    </w:p>
    <w:p>
      <w:pPr>
        <w:pStyle w:val="25"/>
        <w:keepNext w:val="0"/>
        <w:keepLines w:val="0"/>
        <w:pageBreakBefore w:val="0"/>
        <w:kinsoku/>
        <w:overflowPunct/>
        <w:topLinePunct w:val="0"/>
        <w:bidi w:val="0"/>
        <w:adjustRightInd/>
        <w:snapToGrid/>
        <w:spacing w:before="0" w:beforeAutospacing="0" w:after="0" w:afterAutospacing="0" w:line="360" w:lineRule="auto"/>
        <w:ind w:left="420"/>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地址：温州市鹿城区车站大道天和大厦A幢1501室</w:t>
      </w:r>
    </w:p>
    <w:p>
      <w:pPr>
        <w:pStyle w:val="25"/>
        <w:keepNext w:val="0"/>
        <w:keepLines w:val="0"/>
        <w:pageBreakBefore w:val="0"/>
        <w:kinsoku/>
        <w:overflowPunct/>
        <w:topLinePunct w:val="0"/>
        <w:bidi w:val="0"/>
        <w:adjustRightInd/>
        <w:snapToGrid/>
        <w:spacing w:before="0" w:beforeAutospacing="0" w:after="0" w:afterAutospacing="0" w:line="360" w:lineRule="auto"/>
        <w:ind w:left="420"/>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电话：</w:t>
      </w:r>
      <w:r>
        <w:rPr>
          <w:rFonts w:hint="eastAsia" w:ascii="宋体" w:hAnsi="宋体" w:eastAsia="宋体" w:cs="宋体"/>
          <w:color w:val="000000"/>
          <w:sz w:val="22"/>
          <w:szCs w:val="22"/>
          <w:highlight w:val="none"/>
          <w:lang w:val="en-US" w:eastAsia="zh-CN"/>
        </w:rPr>
        <w:t>13758431531</w:t>
      </w:r>
      <w:r>
        <w:rPr>
          <w:rFonts w:hint="eastAsia" w:ascii="宋体" w:hAnsi="宋体" w:eastAsia="宋体" w:cs="宋体"/>
          <w:color w:val="000000"/>
          <w:sz w:val="22"/>
          <w:szCs w:val="22"/>
          <w:highlight w:val="none"/>
        </w:rPr>
        <w:t>、0577-56653967</w:t>
      </w:r>
    </w:p>
    <w:p>
      <w:pPr>
        <w:pStyle w:val="25"/>
        <w:keepNext w:val="0"/>
        <w:keepLines w:val="0"/>
        <w:pageBreakBefore w:val="0"/>
        <w:kinsoku/>
        <w:overflowPunct/>
        <w:topLinePunct w:val="0"/>
        <w:bidi w:val="0"/>
        <w:adjustRightInd/>
        <w:snapToGrid/>
        <w:spacing w:before="0" w:beforeAutospacing="0" w:after="0" w:afterAutospacing="0" w:line="360" w:lineRule="auto"/>
        <w:ind w:left="420"/>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传真：0577-56653969</w:t>
      </w:r>
    </w:p>
    <w:p>
      <w:pPr>
        <w:pStyle w:val="25"/>
        <w:keepNext w:val="0"/>
        <w:keepLines w:val="0"/>
        <w:pageBreakBefore w:val="0"/>
        <w:kinsoku/>
        <w:overflowPunct/>
        <w:topLinePunct w:val="0"/>
        <w:bidi w:val="0"/>
        <w:adjustRightInd/>
        <w:snapToGrid/>
        <w:spacing w:before="0" w:beforeAutospacing="0" w:after="0" w:afterAutospacing="0" w:line="360" w:lineRule="auto"/>
        <w:ind w:left="420"/>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联系人：</w:t>
      </w:r>
      <w:r>
        <w:rPr>
          <w:rFonts w:hint="eastAsia" w:ascii="宋体" w:hAnsi="宋体" w:eastAsia="宋体" w:cs="宋体"/>
          <w:color w:val="000000"/>
          <w:sz w:val="22"/>
          <w:szCs w:val="22"/>
          <w:highlight w:val="none"/>
          <w:lang w:val="en-US" w:eastAsia="zh-CN"/>
        </w:rPr>
        <w:t>单</w:t>
      </w:r>
      <w:r>
        <w:rPr>
          <w:rFonts w:hint="eastAsia" w:ascii="宋体" w:hAnsi="宋体" w:eastAsia="宋体" w:cs="宋体"/>
          <w:color w:val="000000"/>
          <w:sz w:val="22"/>
          <w:szCs w:val="22"/>
          <w:highlight w:val="none"/>
        </w:rPr>
        <w:t>先生</w:t>
      </w:r>
    </w:p>
    <w:p>
      <w:pPr>
        <w:pStyle w:val="25"/>
        <w:keepNext w:val="0"/>
        <w:keepLines w:val="0"/>
        <w:pageBreakBefore w:val="0"/>
        <w:kinsoku/>
        <w:overflowPunct/>
        <w:topLinePunct w:val="0"/>
        <w:bidi w:val="0"/>
        <w:adjustRightInd/>
        <w:snapToGrid/>
        <w:spacing w:before="0" w:beforeAutospacing="0" w:after="0" w:afterAutospacing="0" w:line="360" w:lineRule="auto"/>
        <w:ind w:left="420"/>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采购监督管理部门：浙江东方职业技术学院监察审计室</w:t>
      </w:r>
    </w:p>
    <w:p>
      <w:pPr>
        <w:pStyle w:val="25"/>
        <w:keepNext w:val="0"/>
        <w:keepLines w:val="0"/>
        <w:pageBreakBefore w:val="0"/>
        <w:kinsoku/>
        <w:overflowPunct/>
        <w:topLinePunct w:val="0"/>
        <w:bidi w:val="0"/>
        <w:adjustRightInd/>
        <w:snapToGrid/>
        <w:spacing w:before="0" w:beforeAutospacing="0" w:after="0" w:afterAutospacing="0" w:line="360" w:lineRule="auto"/>
        <w:ind w:left="420"/>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联系人：陈先生</w:t>
      </w:r>
    </w:p>
    <w:p>
      <w:pPr>
        <w:pStyle w:val="25"/>
        <w:keepNext w:val="0"/>
        <w:keepLines w:val="0"/>
        <w:pageBreakBefore w:val="0"/>
        <w:kinsoku/>
        <w:overflowPunct/>
        <w:topLinePunct w:val="0"/>
        <w:bidi w:val="0"/>
        <w:adjustRightInd/>
        <w:snapToGrid/>
        <w:spacing w:before="0" w:beforeAutospacing="0" w:after="0" w:afterAutospacing="0" w:line="360" w:lineRule="auto"/>
        <w:ind w:left="420"/>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联系电话：0577-86538533</w:t>
      </w:r>
    </w:p>
    <w:p>
      <w:pPr>
        <w:pStyle w:val="25"/>
        <w:keepNext w:val="0"/>
        <w:keepLines w:val="0"/>
        <w:pageBreakBefore w:val="0"/>
        <w:kinsoku/>
        <w:overflowPunct/>
        <w:topLinePunct w:val="0"/>
        <w:bidi w:val="0"/>
        <w:adjustRightInd/>
        <w:snapToGrid/>
        <w:spacing w:before="0" w:beforeAutospacing="0" w:after="0" w:afterAutospacing="0" w:line="360" w:lineRule="auto"/>
        <w:ind w:left="420" w:right="210"/>
        <w:jc w:val="right"/>
        <w:rPr>
          <w:rFonts w:hint="eastAsia" w:ascii="宋体" w:hAnsi="宋体" w:eastAsia="宋体" w:cs="宋体"/>
          <w:color w:val="000000"/>
          <w:sz w:val="22"/>
          <w:szCs w:val="22"/>
          <w:highlight w:val="none"/>
        </w:rPr>
      </w:pPr>
    </w:p>
    <w:p>
      <w:pPr>
        <w:pStyle w:val="25"/>
        <w:keepNext w:val="0"/>
        <w:keepLines w:val="0"/>
        <w:pageBreakBefore w:val="0"/>
        <w:kinsoku/>
        <w:overflowPunct/>
        <w:topLinePunct w:val="0"/>
        <w:bidi w:val="0"/>
        <w:adjustRightInd/>
        <w:snapToGrid/>
        <w:spacing w:before="0" w:beforeAutospacing="0" w:after="0" w:afterAutospacing="0" w:line="360" w:lineRule="auto"/>
        <w:ind w:left="420" w:right="210"/>
        <w:jc w:val="right"/>
        <w:rPr>
          <w:rFonts w:hint="eastAsia" w:ascii="宋体" w:hAnsi="宋体" w:eastAsia="宋体" w:cs="宋体"/>
          <w:color w:val="000000"/>
          <w:sz w:val="22"/>
          <w:szCs w:val="22"/>
          <w:highlight w:val="none"/>
        </w:rPr>
      </w:pPr>
    </w:p>
    <w:p>
      <w:pPr>
        <w:pStyle w:val="25"/>
        <w:keepNext w:val="0"/>
        <w:keepLines w:val="0"/>
        <w:pageBreakBefore w:val="0"/>
        <w:kinsoku/>
        <w:overflowPunct/>
        <w:topLinePunct w:val="0"/>
        <w:bidi w:val="0"/>
        <w:adjustRightInd/>
        <w:snapToGrid/>
        <w:spacing w:before="0" w:beforeAutospacing="0" w:after="0" w:afterAutospacing="0" w:line="360" w:lineRule="auto"/>
        <w:ind w:left="420" w:right="210"/>
        <w:jc w:val="right"/>
        <w:rPr>
          <w:rFonts w:hint="eastAsia" w:ascii="宋体" w:hAnsi="宋体" w:eastAsia="宋体" w:cs="宋体"/>
          <w:color w:val="000000"/>
          <w:sz w:val="22"/>
          <w:szCs w:val="22"/>
          <w:highlight w:val="none"/>
        </w:rPr>
      </w:pPr>
    </w:p>
    <w:p>
      <w:pPr>
        <w:pStyle w:val="25"/>
        <w:keepNext w:val="0"/>
        <w:keepLines w:val="0"/>
        <w:pageBreakBefore w:val="0"/>
        <w:kinsoku/>
        <w:overflowPunct/>
        <w:topLinePunct w:val="0"/>
        <w:bidi w:val="0"/>
        <w:adjustRightInd/>
        <w:snapToGrid/>
        <w:spacing w:before="0" w:beforeAutospacing="0" w:after="0" w:afterAutospacing="0" w:line="360" w:lineRule="auto"/>
        <w:ind w:left="420" w:right="420"/>
        <w:jc w:val="right"/>
        <w:rPr>
          <w:rFonts w:hint="eastAsia" w:ascii="宋体" w:hAnsi="宋体" w:eastAsia="宋体" w:cs="宋体"/>
          <w:color w:val="000000"/>
          <w:sz w:val="22"/>
          <w:szCs w:val="22"/>
          <w:highlight w:val="none"/>
        </w:rPr>
      </w:pPr>
    </w:p>
    <w:p>
      <w:pPr>
        <w:pStyle w:val="25"/>
        <w:keepNext w:val="0"/>
        <w:keepLines w:val="0"/>
        <w:pageBreakBefore w:val="0"/>
        <w:kinsoku/>
        <w:overflowPunct/>
        <w:topLinePunct w:val="0"/>
        <w:bidi w:val="0"/>
        <w:adjustRightInd/>
        <w:snapToGrid/>
        <w:spacing w:before="0" w:beforeAutospacing="0" w:after="0" w:afterAutospacing="0" w:line="360" w:lineRule="auto"/>
        <w:ind w:left="420" w:right="210"/>
        <w:jc w:val="right"/>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浙江东方职业技术学院</w:t>
      </w:r>
    </w:p>
    <w:p>
      <w:pPr>
        <w:pStyle w:val="25"/>
        <w:keepNext w:val="0"/>
        <w:keepLines w:val="0"/>
        <w:pageBreakBefore w:val="0"/>
        <w:kinsoku/>
        <w:overflowPunct/>
        <w:topLinePunct w:val="0"/>
        <w:bidi w:val="0"/>
        <w:adjustRightInd/>
        <w:snapToGrid/>
        <w:spacing w:before="0" w:beforeAutospacing="0" w:after="0" w:afterAutospacing="0" w:line="360" w:lineRule="auto"/>
        <w:ind w:left="420" w:right="210"/>
        <w:jc w:val="righ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浙江创嘉项目管理有限公司</w:t>
      </w:r>
    </w:p>
    <w:p>
      <w:pPr>
        <w:pStyle w:val="25"/>
        <w:keepNext w:val="0"/>
        <w:keepLines w:val="0"/>
        <w:pageBreakBefore w:val="0"/>
        <w:kinsoku/>
        <w:overflowPunct/>
        <w:topLinePunct w:val="0"/>
        <w:bidi w:val="0"/>
        <w:adjustRightInd/>
        <w:snapToGrid/>
        <w:spacing w:before="0" w:beforeAutospacing="0" w:after="0" w:afterAutospacing="0" w:line="360" w:lineRule="auto"/>
        <w:ind w:left="420" w:right="210"/>
        <w:jc w:val="righ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202</w:t>
      </w:r>
      <w:r>
        <w:rPr>
          <w:rFonts w:hint="eastAsia" w:ascii="宋体" w:hAnsi="宋体" w:eastAsia="宋体" w:cs="宋体"/>
          <w:color w:val="000000"/>
          <w:sz w:val="22"/>
          <w:szCs w:val="22"/>
          <w:highlight w:val="none"/>
          <w:lang w:val="en-US" w:eastAsia="zh-CN"/>
        </w:rPr>
        <w:t>2</w:t>
      </w:r>
      <w:r>
        <w:rPr>
          <w:rFonts w:hint="eastAsia" w:ascii="宋体" w:hAnsi="宋体" w:eastAsia="宋体" w:cs="宋体"/>
          <w:color w:val="000000"/>
          <w:sz w:val="22"/>
          <w:szCs w:val="22"/>
          <w:highlight w:val="none"/>
        </w:rPr>
        <w:t>年</w:t>
      </w:r>
      <w:r>
        <w:rPr>
          <w:rFonts w:hint="eastAsia" w:ascii="宋体" w:hAnsi="宋体" w:eastAsia="宋体" w:cs="宋体"/>
          <w:color w:val="000000"/>
          <w:sz w:val="22"/>
          <w:szCs w:val="22"/>
          <w:highlight w:val="none"/>
          <w:lang w:val="en-US" w:eastAsia="zh-CN"/>
        </w:rPr>
        <w:t>05</w:t>
      </w:r>
      <w:r>
        <w:rPr>
          <w:rFonts w:hint="eastAsia" w:ascii="宋体" w:hAnsi="宋体" w:eastAsia="宋体" w:cs="宋体"/>
          <w:color w:val="000000"/>
          <w:sz w:val="22"/>
          <w:szCs w:val="22"/>
          <w:highlight w:val="none"/>
        </w:rPr>
        <w:t>月</w:t>
      </w:r>
      <w:r>
        <w:rPr>
          <w:rFonts w:hint="eastAsia" w:ascii="宋体" w:hAnsi="宋体" w:eastAsia="宋体" w:cs="宋体"/>
          <w:color w:val="000000"/>
          <w:sz w:val="22"/>
          <w:szCs w:val="22"/>
          <w:highlight w:val="none"/>
          <w:lang w:val="en-US" w:eastAsia="zh-CN"/>
        </w:rPr>
        <w:t>27</w:t>
      </w:r>
      <w:r>
        <w:rPr>
          <w:rFonts w:hint="eastAsia" w:ascii="宋体" w:hAnsi="宋体" w:eastAsia="宋体" w:cs="宋体"/>
          <w:color w:val="000000"/>
          <w:sz w:val="22"/>
          <w:szCs w:val="22"/>
          <w:highlight w:val="none"/>
        </w:rPr>
        <w:t>日</w:t>
      </w:r>
    </w:p>
    <w:p>
      <w:pPr>
        <w:spacing w:line="360" w:lineRule="exact"/>
        <w:ind w:firstLine="418" w:firstLineChars="190"/>
        <w:jc w:val="righ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br w:type="page"/>
      </w:r>
    </w:p>
    <w:p>
      <w:pPr>
        <w:pStyle w:val="2"/>
        <w:rPr>
          <w:rFonts w:hint="eastAsia" w:ascii="宋体" w:hAnsi="宋体" w:eastAsia="宋体" w:cs="宋体"/>
          <w:color w:val="000000" w:themeColor="text1"/>
          <w:sz w:val="36"/>
          <w:szCs w:val="36"/>
          <w:highlight w:val="none"/>
          <w14:textFill>
            <w14:solidFill>
              <w14:schemeClr w14:val="tx1"/>
            </w14:solidFill>
          </w14:textFill>
        </w:rPr>
      </w:pPr>
      <w:bookmarkStart w:id="16" w:name="_Toc221423615"/>
      <w:bookmarkStart w:id="17" w:name="_Toc245191310"/>
      <w:bookmarkStart w:id="18" w:name="_Toc221356882"/>
      <w:bookmarkStart w:id="19" w:name="_Toc239145350"/>
      <w:bookmarkStart w:id="20" w:name="_Toc222114875"/>
      <w:bookmarkStart w:id="21" w:name="_Toc262049414"/>
      <w:bookmarkStart w:id="22" w:name="_Toc221356947"/>
      <w:bookmarkStart w:id="23" w:name="_Toc249758708"/>
      <w:bookmarkStart w:id="24" w:name="_Toc245722277"/>
      <w:bookmarkStart w:id="25" w:name="_Toc221374622"/>
      <w:bookmarkStart w:id="26" w:name="_Toc223715994"/>
      <w:bookmarkStart w:id="27" w:name="_Toc241404198"/>
      <w:bookmarkStart w:id="28" w:name="_Toc262105499"/>
      <w:bookmarkStart w:id="29" w:name="_Toc246261261"/>
      <w:bookmarkStart w:id="30" w:name="_Toc49175232"/>
      <w:bookmarkStart w:id="31" w:name="_Toc249758860"/>
      <w:r>
        <w:rPr>
          <w:rFonts w:hint="eastAsia" w:ascii="宋体" w:hAnsi="宋体" w:eastAsia="宋体" w:cs="宋体"/>
          <w:color w:val="000000" w:themeColor="text1"/>
          <w:sz w:val="36"/>
          <w:szCs w:val="36"/>
          <w:highlight w:val="none"/>
          <w14:textFill>
            <w14:solidFill>
              <w14:schemeClr w14:val="tx1"/>
            </w14:solidFill>
          </w14:textFill>
        </w:rPr>
        <w:t>第一部分    供应商须知</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pPr>
        <w:pStyle w:val="3"/>
        <w:spacing w:line="680" w:lineRule="exact"/>
        <w:jc w:val="center"/>
        <w:rPr>
          <w:rFonts w:hint="eastAsia" w:ascii="宋体" w:hAnsi="宋体" w:eastAsia="宋体" w:cs="宋体"/>
          <w:color w:val="000000" w:themeColor="text1"/>
          <w:sz w:val="28"/>
          <w:szCs w:val="28"/>
          <w:highlight w:val="none"/>
          <w14:textFill>
            <w14:solidFill>
              <w14:schemeClr w14:val="tx1"/>
            </w14:solidFill>
          </w14:textFill>
        </w:rPr>
      </w:pPr>
      <w:bookmarkStart w:id="32" w:name="_Toc486600281"/>
      <w:bookmarkStart w:id="33" w:name="_Toc20376"/>
      <w:bookmarkStart w:id="34" w:name="_Toc49175233"/>
      <w:bookmarkStart w:id="35" w:name="_Toc245191311"/>
      <w:bookmarkStart w:id="36" w:name="_Toc245722278"/>
      <w:bookmarkStart w:id="37" w:name="_Toc262105500"/>
      <w:bookmarkStart w:id="38" w:name="_Toc221356948"/>
      <w:bookmarkStart w:id="39" w:name="_Toc222114876"/>
      <w:bookmarkStart w:id="40" w:name="_Toc241404199"/>
      <w:bookmarkStart w:id="41" w:name="_Toc239145351"/>
      <w:bookmarkStart w:id="42" w:name="_Toc221356883"/>
      <w:bookmarkStart w:id="43" w:name="_Toc249758861"/>
      <w:bookmarkStart w:id="44" w:name="_Toc262049415"/>
      <w:bookmarkStart w:id="45" w:name="_Toc223715995"/>
      <w:bookmarkStart w:id="46" w:name="_Toc221423616"/>
      <w:bookmarkStart w:id="47" w:name="_Toc221374623"/>
      <w:bookmarkStart w:id="48" w:name="_Toc246261262"/>
      <w:bookmarkStart w:id="49" w:name="_Toc249758709"/>
      <w:r>
        <w:rPr>
          <w:rFonts w:hint="eastAsia" w:ascii="宋体" w:hAnsi="宋体" w:eastAsia="宋体" w:cs="宋体"/>
          <w:color w:val="000000" w:themeColor="text1"/>
          <w:sz w:val="28"/>
          <w:szCs w:val="28"/>
          <w:highlight w:val="none"/>
          <w14:textFill>
            <w14:solidFill>
              <w14:schemeClr w14:val="tx1"/>
            </w14:solidFill>
          </w14:textFill>
        </w:rPr>
        <w:t>供应商须知前附表</w:t>
      </w:r>
      <w:bookmarkEnd w:id="32"/>
      <w:bookmarkEnd w:id="33"/>
      <w:bookmarkEnd w:id="34"/>
    </w:p>
    <w:tbl>
      <w:tblPr>
        <w:tblStyle w:val="28"/>
        <w:tblW w:w="10040" w:type="dxa"/>
        <w:tblInd w:w="0" w:type="dxa"/>
        <w:tblLayout w:type="fixed"/>
        <w:tblCellMar>
          <w:top w:w="0" w:type="dxa"/>
          <w:left w:w="108" w:type="dxa"/>
          <w:bottom w:w="0" w:type="dxa"/>
          <w:right w:w="108" w:type="dxa"/>
        </w:tblCellMar>
      </w:tblPr>
      <w:tblGrid>
        <w:gridCol w:w="1004"/>
        <w:gridCol w:w="1718"/>
        <w:gridCol w:w="7318"/>
      </w:tblGrid>
      <w:tr>
        <w:tblPrEx>
          <w:tblCellMar>
            <w:top w:w="0" w:type="dxa"/>
            <w:left w:w="108" w:type="dxa"/>
            <w:bottom w:w="0" w:type="dxa"/>
            <w:right w:w="108" w:type="dxa"/>
          </w:tblCellMar>
        </w:tblPrEx>
        <w:trPr>
          <w:trHeight w:val="595" w:hRule="atLeast"/>
        </w:trPr>
        <w:tc>
          <w:tcPr>
            <w:tcW w:w="10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60" w:lineRule="exact"/>
              <w:jc w:val="center"/>
              <w:textAlignment w:val="auto"/>
              <w:rPr>
                <w:rFonts w:hint="eastAsia" w:ascii="宋体" w:hAnsi="宋体" w:eastAsia="宋体" w:cs="宋体"/>
                <w:b/>
                <w:color w:val="000000" w:themeColor="text1"/>
                <w:kern w:val="0"/>
                <w:sz w:val="22"/>
                <w:szCs w:val="22"/>
                <w:highlight w:val="none"/>
                <w14:textFill>
                  <w14:solidFill>
                    <w14:schemeClr w14:val="tx1"/>
                  </w14:solidFill>
                </w14:textFill>
              </w:rPr>
            </w:pPr>
            <w:r>
              <w:rPr>
                <w:rFonts w:hint="eastAsia" w:ascii="宋体" w:hAnsi="宋体" w:eastAsia="宋体" w:cs="宋体"/>
                <w:b/>
                <w:color w:val="000000" w:themeColor="text1"/>
                <w:kern w:val="0"/>
                <w:sz w:val="22"/>
                <w:szCs w:val="22"/>
                <w:highlight w:val="none"/>
                <w14:textFill>
                  <w14:solidFill>
                    <w14:schemeClr w14:val="tx1"/>
                  </w14:solidFill>
                </w14:textFill>
              </w:rPr>
              <w:t>序号</w:t>
            </w:r>
          </w:p>
        </w:tc>
        <w:tc>
          <w:tcPr>
            <w:tcW w:w="1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60" w:lineRule="exact"/>
              <w:jc w:val="center"/>
              <w:textAlignment w:val="auto"/>
              <w:rPr>
                <w:rFonts w:hint="eastAsia" w:ascii="宋体" w:hAnsi="宋体" w:eastAsia="宋体" w:cs="宋体"/>
                <w:b/>
                <w:color w:val="000000" w:themeColor="text1"/>
                <w:kern w:val="0"/>
                <w:sz w:val="22"/>
                <w:szCs w:val="22"/>
                <w:highlight w:val="none"/>
                <w14:textFill>
                  <w14:solidFill>
                    <w14:schemeClr w14:val="tx1"/>
                  </w14:solidFill>
                </w14:textFill>
              </w:rPr>
            </w:pPr>
            <w:r>
              <w:rPr>
                <w:rFonts w:hint="eastAsia" w:ascii="宋体" w:hAnsi="宋体" w:eastAsia="宋体" w:cs="宋体"/>
                <w:b/>
                <w:color w:val="000000" w:themeColor="text1"/>
                <w:kern w:val="0"/>
                <w:sz w:val="22"/>
                <w:szCs w:val="22"/>
                <w:highlight w:val="none"/>
                <w14:textFill>
                  <w14:solidFill>
                    <w14:schemeClr w14:val="tx1"/>
                  </w14:solidFill>
                </w14:textFill>
              </w:rPr>
              <w:t>条款名称</w:t>
            </w:r>
          </w:p>
        </w:tc>
        <w:tc>
          <w:tcPr>
            <w:tcW w:w="7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60" w:lineRule="exact"/>
              <w:jc w:val="center"/>
              <w:textAlignment w:val="auto"/>
              <w:rPr>
                <w:rFonts w:hint="eastAsia" w:ascii="宋体" w:hAnsi="宋体" w:eastAsia="宋体" w:cs="宋体"/>
                <w:b/>
                <w:color w:val="000000" w:themeColor="text1"/>
                <w:kern w:val="0"/>
                <w:sz w:val="22"/>
                <w:szCs w:val="22"/>
                <w:highlight w:val="none"/>
                <w14:textFill>
                  <w14:solidFill>
                    <w14:schemeClr w14:val="tx1"/>
                  </w14:solidFill>
                </w14:textFill>
              </w:rPr>
            </w:pPr>
            <w:r>
              <w:rPr>
                <w:rFonts w:hint="eastAsia" w:ascii="宋体" w:hAnsi="宋体" w:eastAsia="宋体" w:cs="宋体"/>
                <w:b/>
                <w:color w:val="000000" w:themeColor="text1"/>
                <w:kern w:val="0"/>
                <w:sz w:val="22"/>
                <w:szCs w:val="22"/>
                <w:highlight w:val="none"/>
                <w14:textFill>
                  <w14:solidFill>
                    <w14:schemeClr w14:val="tx1"/>
                  </w14:solidFill>
                </w14:textFill>
              </w:rPr>
              <w:t>编列内容</w:t>
            </w:r>
          </w:p>
        </w:tc>
      </w:tr>
      <w:tr>
        <w:tblPrEx>
          <w:tblCellMar>
            <w:top w:w="0" w:type="dxa"/>
            <w:left w:w="108" w:type="dxa"/>
            <w:bottom w:w="0" w:type="dxa"/>
            <w:right w:w="108" w:type="dxa"/>
          </w:tblCellMar>
        </w:tblPrEx>
        <w:trPr>
          <w:trHeight w:val="595" w:hRule="atLeast"/>
        </w:trPr>
        <w:tc>
          <w:tcPr>
            <w:tcW w:w="10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w:t>
            </w:r>
          </w:p>
        </w:tc>
        <w:tc>
          <w:tcPr>
            <w:tcW w:w="1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szCs w:val="22"/>
                <w:highlight w:val="none"/>
                <w:lang w:eastAsia="zh-CN"/>
                <w14:textFill>
                  <w14:solidFill>
                    <w14:schemeClr w14:val="tx1"/>
                  </w14:solidFill>
                </w14:textFill>
              </w:rPr>
            </w:pPr>
            <w:r>
              <w:rPr>
                <w:rFonts w:hint="eastAsia" w:ascii="宋体" w:hAnsi="宋体" w:eastAsia="宋体" w:cs="宋体"/>
                <w:color w:val="000000" w:themeColor="text1"/>
                <w:kern w:val="0"/>
                <w:sz w:val="22"/>
                <w:szCs w:val="22"/>
                <w:highlight w:val="none"/>
                <w:lang w:eastAsia="zh-CN"/>
                <w14:textFill>
                  <w14:solidFill>
                    <w14:schemeClr w14:val="tx1"/>
                  </w14:solidFill>
                </w14:textFill>
              </w:rPr>
              <w:t>项目名称</w:t>
            </w:r>
          </w:p>
        </w:tc>
        <w:tc>
          <w:tcPr>
            <w:tcW w:w="7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60" w:lineRule="exact"/>
              <w:textAlignment w:val="auto"/>
              <w:rPr>
                <w:rFonts w:hint="eastAsia" w:ascii="宋体" w:hAnsi="宋体" w:eastAsia="宋体" w:cs="宋体"/>
                <w:color w:val="000000" w:themeColor="text1"/>
                <w:kern w:val="0"/>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标准化考场网上巡查系统改建</w:t>
            </w:r>
          </w:p>
        </w:tc>
      </w:tr>
      <w:tr>
        <w:tblPrEx>
          <w:tblCellMar>
            <w:top w:w="0" w:type="dxa"/>
            <w:left w:w="108" w:type="dxa"/>
            <w:bottom w:w="0" w:type="dxa"/>
            <w:right w:w="108" w:type="dxa"/>
          </w:tblCellMar>
        </w:tblPrEx>
        <w:trPr>
          <w:trHeight w:val="595" w:hRule="atLeast"/>
        </w:trPr>
        <w:tc>
          <w:tcPr>
            <w:tcW w:w="10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w:t>
            </w:r>
          </w:p>
        </w:tc>
        <w:tc>
          <w:tcPr>
            <w:tcW w:w="1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项目预算</w:t>
            </w:r>
          </w:p>
        </w:tc>
        <w:tc>
          <w:tcPr>
            <w:tcW w:w="7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u w:val="single"/>
                <w14:textFill>
                  <w14:solidFill>
                    <w14:schemeClr w14:val="tx1"/>
                  </w14:solidFill>
                </w14:textFill>
              </w:rPr>
              <w:t>▲本项目采购预算为人民币</w:t>
            </w:r>
            <w:r>
              <w:rPr>
                <w:rFonts w:hint="eastAsia" w:ascii="宋体" w:hAnsi="宋体" w:eastAsia="宋体" w:cs="宋体"/>
                <w:b/>
                <w:color w:val="000000" w:themeColor="text1"/>
                <w:sz w:val="22"/>
                <w:szCs w:val="22"/>
                <w:highlight w:val="none"/>
                <w:u w:val="single"/>
                <w:lang w:eastAsia="zh-CN"/>
                <w14:textFill>
                  <w14:solidFill>
                    <w14:schemeClr w14:val="tx1"/>
                  </w14:solidFill>
                </w14:textFill>
              </w:rPr>
              <w:t>肆拾</w:t>
            </w:r>
            <w:r>
              <w:rPr>
                <w:rFonts w:hint="eastAsia" w:ascii="宋体" w:hAnsi="宋体" w:eastAsia="宋体" w:cs="宋体"/>
                <w:b/>
                <w:color w:val="000000" w:themeColor="text1"/>
                <w:sz w:val="22"/>
                <w:szCs w:val="22"/>
                <w:highlight w:val="none"/>
                <w:u w:val="single"/>
                <w:lang w:val="en-US" w:eastAsia="zh-CN"/>
                <w14:textFill>
                  <w14:solidFill>
                    <w14:schemeClr w14:val="tx1"/>
                  </w14:solidFill>
                </w14:textFill>
              </w:rPr>
              <w:t>捌</w:t>
            </w:r>
            <w:r>
              <w:rPr>
                <w:rFonts w:hint="eastAsia" w:ascii="宋体" w:hAnsi="宋体" w:eastAsia="宋体" w:cs="宋体"/>
                <w:b/>
                <w:color w:val="000000" w:themeColor="text1"/>
                <w:sz w:val="22"/>
                <w:szCs w:val="22"/>
                <w:highlight w:val="none"/>
                <w:u w:val="single"/>
                <w:lang w:eastAsia="zh-CN"/>
                <w14:textFill>
                  <w14:solidFill>
                    <w14:schemeClr w14:val="tx1"/>
                  </w14:solidFill>
                </w14:textFill>
              </w:rPr>
              <w:t>万</w:t>
            </w:r>
            <w:r>
              <w:rPr>
                <w:rFonts w:hint="eastAsia" w:ascii="宋体" w:hAnsi="宋体" w:eastAsia="宋体" w:cs="宋体"/>
                <w:b/>
                <w:color w:val="000000" w:themeColor="text1"/>
                <w:sz w:val="22"/>
                <w:szCs w:val="22"/>
                <w:highlight w:val="none"/>
                <w:u w:val="single"/>
                <w14:textFill>
                  <w14:solidFill>
                    <w14:schemeClr w14:val="tx1"/>
                  </w14:solidFill>
                </w14:textFill>
              </w:rPr>
              <w:t>元整（¥</w:t>
            </w:r>
            <w:r>
              <w:rPr>
                <w:rFonts w:hint="eastAsia" w:ascii="宋体" w:hAnsi="宋体" w:eastAsia="宋体" w:cs="宋体"/>
                <w:b/>
                <w:color w:val="000000" w:themeColor="text1"/>
                <w:sz w:val="22"/>
                <w:szCs w:val="22"/>
                <w:highlight w:val="none"/>
                <w:u w:val="single"/>
                <w:lang w:val="en-US" w:eastAsia="zh-CN"/>
                <w14:textFill>
                  <w14:solidFill>
                    <w14:schemeClr w14:val="tx1"/>
                  </w14:solidFill>
                </w14:textFill>
              </w:rPr>
              <w:t>480000</w:t>
            </w:r>
            <w:r>
              <w:rPr>
                <w:rFonts w:hint="eastAsia" w:ascii="宋体" w:hAnsi="宋体" w:eastAsia="宋体" w:cs="宋体"/>
                <w:b/>
                <w:color w:val="000000" w:themeColor="text1"/>
                <w:sz w:val="22"/>
                <w:szCs w:val="22"/>
                <w:highlight w:val="none"/>
                <w:u w:val="single"/>
                <w14:textFill>
                  <w14:solidFill>
                    <w14:schemeClr w14:val="tx1"/>
                  </w14:solidFill>
                </w14:textFill>
              </w:rPr>
              <w:t>.00元），供应商的最终报价超过采购预算的，按无效标处理。</w:t>
            </w:r>
          </w:p>
        </w:tc>
      </w:tr>
      <w:tr>
        <w:tblPrEx>
          <w:tblCellMar>
            <w:top w:w="0" w:type="dxa"/>
            <w:left w:w="108" w:type="dxa"/>
            <w:bottom w:w="0" w:type="dxa"/>
            <w:right w:w="108" w:type="dxa"/>
          </w:tblCellMar>
        </w:tblPrEx>
        <w:trPr>
          <w:trHeight w:val="595" w:hRule="atLeast"/>
        </w:trPr>
        <w:tc>
          <w:tcPr>
            <w:tcW w:w="10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w:t>
            </w:r>
          </w:p>
        </w:tc>
        <w:tc>
          <w:tcPr>
            <w:tcW w:w="1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采购内容</w:t>
            </w:r>
          </w:p>
        </w:tc>
        <w:tc>
          <w:tcPr>
            <w:tcW w:w="7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60" w:lineRule="exact"/>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采购</w:t>
            </w:r>
            <w:r>
              <w:rPr>
                <w:rFonts w:hint="eastAsia" w:ascii="宋体" w:hAnsi="宋体" w:eastAsia="宋体" w:cs="宋体"/>
                <w:color w:val="000000" w:themeColor="text1"/>
                <w:sz w:val="22"/>
                <w:szCs w:val="22"/>
                <w:highlight w:val="none"/>
                <w:lang w:val="en-US" w:eastAsia="zh-CN"/>
                <w14:textFill>
                  <w14:solidFill>
                    <w14:schemeClr w14:val="tx1"/>
                  </w14:solidFill>
                </w14:textFill>
              </w:rPr>
              <w:t>一</w:t>
            </w:r>
            <w:r>
              <w:rPr>
                <w:rFonts w:hint="eastAsia" w:ascii="宋体" w:hAnsi="宋体" w:eastAsia="宋体" w:cs="宋体"/>
                <w:color w:val="000000" w:themeColor="text1"/>
                <w:sz w:val="22"/>
                <w:szCs w:val="22"/>
                <w:highlight w:val="none"/>
                <w14:textFill>
                  <w14:solidFill>
                    <w14:schemeClr w14:val="tx1"/>
                  </w14:solidFill>
                </w14:textFill>
              </w:rPr>
              <w:t>套</w:t>
            </w:r>
            <w:r>
              <w:rPr>
                <w:rFonts w:hint="eastAsia" w:ascii="宋体" w:hAnsi="宋体" w:eastAsia="宋体" w:cs="宋体"/>
                <w:color w:val="000000" w:themeColor="text1"/>
                <w:sz w:val="22"/>
                <w:szCs w:val="22"/>
                <w:highlight w:val="none"/>
                <w:lang w:eastAsia="zh-CN"/>
                <w14:textFill>
                  <w14:solidFill>
                    <w14:schemeClr w14:val="tx1"/>
                  </w14:solidFill>
                </w14:textFill>
              </w:rPr>
              <w:t>标准化考场网上巡查系统改建</w:t>
            </w:r>
            <w:r>
              <w:rPr>
                <w:rFonts w:hint="eastAsia" w:ascii="宋体" w:hAnsi="宋体" w:eastAsia="宋体" w:cs="宋体"/>
                <w:color w:val="000000" w:themeColor="text1"/>
                <w:sz w:val="22"/>
                <w:szCs w:val="22"/>
                <w:highlight w:val="none"/>
                <w14:textFill>
                  <w14:solidFill>
                    <w14:schemeClr w14:val="tx1"/>
                  </w14:solidFill>
                </w14:textFill>
              </w:rPr>
              <w:t>，</w:t>
            </w:r>
            <w:r>
              <w:rPr>
                <w:rFonts w:hint="eastAsia" w:ascii="宋体" w:hAnsi="宋体" w:eastAsia="宋体" w:cs="宋体"/>
                <w:kern w:val="0"/>
                <w:sz w:val="22"/>
                <w:szCs w:val="22"/>
                <w:highlight w:val="none"/>
                <w:lang w:val="zh-CN"/>
              </w:rPr>
              <w:t>具体内容及要求见采购文件第四部分。</w:t>
            </w:r>
          </w:p>
        </w:tc>
      </w:tr>
      <w:tr>
        <w:tblPrEx>
          <w:tblCellMar>
            <w:top w:w="0" w:type="dxa"/>
            <w:left w:w="108" w:type="dxa"/>
            <w:bottom w:w="0" w:type="dxa"/>
            <w:right w:w="108" w:type="dxa"/>
          </w:tblCellMar>
        </w:tblPrEx>
        <w:trPr>
          <w:trHeight w:val="752" w:hRule="atLeast"/>
        </w:trPr>
        <w:tc>
          <w:tcPr>
            <w:tcW w:w="10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w:t>
            </w:r>
          </w:p>
        </w:tc>
        <w:tc>
          <w:tcPr>
            <w:tcW w:w="1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供应商资质格要求</w:t>
            </w:r>
          </w:p>
        </w:tc>
        <w:tc>
          <w:tcPr>
            <w:tcW w:w="7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val="0"/>
              <w:snapToGrid w:val="0"/>
              <w:spacing w:line="360" w:lineRule="exact"/>
              <w:textAlignment w:val="auto"/>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单一来源采购，采购人邀请。</w:t>
            </w:r>
          </w:p>
        </w:tc>
      </w:tr>
      <w:tr>
        <w:tblPrEx>
          <w:tblCellMar>
            <w:top w:w="0" w:type="dxa"/>
            <w:left w:w="108" w:type="dxa"/>
            <w:bottom w:w="0" w:type="dxa"/>
            <w:right w:w="108" w:type="dxa"/>
          </w:tblCellMar>
        </w:tblPrEx>
        <w:trPr>
          <w:trHeight w:val="752" w:hRule="atLeast"/>
        </w:trPr>
        <w:tc>
          <w:tcPr>
            <w:tcW w:w="10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1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是否接受</w:t>
            </w:r>
          </w:p>
          <w:p>
            <w:pPr>
              <w:keepNext w:val="0"/>
              <w:keepLines w:val="0"/>
              <w:pageBreakBefore w:val="0"/>
              <w:kinsoku/>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联合体</w:t>
            </w:r>
          </w:p>
        </w:tc>
        <w:tc>
          <w:tcPr>
            <w:tcW w:w="7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60" w:lineRule="exact"/>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b/>
                <w:snapToGrid w:val="0"/>
                <w:color w:val="000000" w:themeColor="text1"/>
                <w:sz w:val="22"/>
                <w:szCs w:val="22"/>
                <w:highlight w:val="none"/>
                <w14:textFill>
                  <w14:solidFill>
                    <w14:schemeClr w14:val="tx1"/>
                  </w14:solidFill>
                </w14:textFill>
              </w:rPr>
              <w:sym w:font="Wingdings" w:char="F0FE"/>
            </w:r>
            <w:r>
              <w:rPr>
                <w:rFonts w:hint="eastAsia" w:ascii="宋体" w:hAnsi="宋体" w:eastAsia="宋体" w:cs="宋体"/>
                <w:color w:val="000000" w:themeColor="text1"/>
                <w:kern w:val="0"/>
                <w:sz w:val="22"/>
                <w:szCs w:val="22"/>
                <w:highlight w:val="none"/>
                <w14:textFill>
                  <w14:solidFill>
                    <w14:schemeClr w14:val="tx1"/>
                  </w14:solidFill>
                </w14:textFill>
              </w:rPr>
              <w:t>不接受</w:t>
            </w:r>
          </w:p>
        </w:tc>
      </w:tr>
      <w:tr>
        <w:tblPrEx>
          <w:tblCellMar>
            <w:top w:w="0" w:type="dxa"/>
            <w:left w:w="108" w:type="dxa"/>
            <w:bottom w:w="0" w:type="dxa"/>
            <w:right w:w="108" w:type="dxa"/>
          </w:tblCellMar>
        </w:tblPrEx>
        <w:trPr>
          <w:trHeight w:val="752" w:hRule="atLeast"/>
        </w:trPr>
        <w:tc>
          <w:tcPr>
            <w:tcW w:w="10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6</w:t>
            </w:r>
          </w:p>
        </w:tc>
        <w:tc>
          <w:tcPr>
            <w:tcW w:w="1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踏勘现场</w:t>
            </w:r>
          </w:p>
        </w:tc>
        <w:tc>
          <w:tcPr>
            <w:tcW w:w="7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60" w:lineRule="exact"/>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b/>
                <w:snapToGrid w:val="0"/>
                <w:color w:val="000000" w:themeColor="text1"/>
                <w:sz w:val="22"/>
                <w:szCs w:val="22"/>
                <w:highlight w:val="none"/>
                <w14:textFill>
                  <w14:solidFill>
                    <w14:schemeClr w14:val="tx1"/>
                  </w14:solidFill>
                </w14:textFill>
              </w:rPr>
              <w:sym w:font="Wingdings" w:char="F0FE"/>
            </w:r>
            <w:r>
              <w:rPr>
                <w:rFonts w:hint="eastAsia" w:ascii="宋体" w:hAnsi="宋体" w:eastAsia="宋体" w:cs="宋体"/>
                <w:color w:val="000000" w:themeColor="text1"/>
                <w:kern w:val="0"/>
                <w:sz w:val="22"/>
                <w:szCs w:val="22"/>
                <w:highlight w:val="none"/>
                <w14:textFill>
                  <w14:solidFill>
                    <w14:schemeClr w14:val="tx1"/>
                  </w14:solidFill>
                </w14:textFill>
              </w:rPr>
              <w:t>不组织</w:t>
            </w:r>
          </w:p>
        </w:tc>
      </w:tr>
      <w:tr>
        <w:tblPrEx>
          <w:tblCellMar>
            <w:top w:w="0" w:type="dxa"/>
            <w:left w:w="108" w:type="dxa"/>
            <w:bottom w:w="0" w:type="dxa"/>
            <w:right w:w="108" w:type="dxa"/>
          </w:tblCellMar>
        </w:tblPrEx>
        <w:trPr>
          <w:trHeight w:val="752" w:hRule="atLeast"/>
        </w:trPr>
        <w:tc>
          <w:tcPr>
            <w:tcW w:w="10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7</w:t>
            </w:r>
          </w:p>
        </w:tc>
        <w:tc>
          <w:tcPr>
            <w:tcW w:w="1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预备会</w:t>
            </w:r>
          </w:p>
        </w:tc>
        <w:tc>
          <w:tcPr>
            <w:tcW w:w="7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60" w:lineRule="exact"/>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b/>
                <w:snapToGrid w:val="0"/>
                <w:color w:val="000000" w:themeColor="text1"/>
                <w:sz w:val="22"/>
                <w:szCs w:val="22"/>
                <w:highlight w:val="none"/>
                <w14:textFill>
                  <w14:solidFill>
                    <w14:schemeClr w14:val="tx1"/>
                  </w14:solidFill>
                </w14:textFill>
              </w:rPr>
              <w:sym w:font="Wingdings" w:char="F0FE"/>
            </w:r>
            <w:r>
              <w:rPr>
                <w:rFonts w:hint="eastAsia" w:ascii="宋体" w:hAnsi="宋体" w:eastAsia="宋体" w:cs="宋体"/>
                <w:color w:val="000000" w:themeColor="text1"/>
                <w:kern w:val="0"/>
                <w:sz w:val="22"/>
                <w:szCs w:val="22"/>
                <w:highlight w:val="none"/>
                <w14:textFill>
                  <w14:solidFill>
                    <w14:schemeClr w14:val="tx1"/>
                  </w14:solidFill>
                </w14:textFill>
              </w:rPr>
              <w:t>不召开</w:t>
            </w:r>
          </w:p>
        </w:tc>
      </w:tr>
      <w:tr>
        <w:tblPrEx>
          <w:tblCellMar>
            <w:top w:w="0" w:type="dxa"/>
            <w:left w:w="108" w:type="dxa"/>
            <w:bottom w:w="0" w:type="dxa"/>
            <w:right w:w="108" w:type="dxa"/>
          </w:tblCellMar>
        </w:tblPrEx>
        <w:trPr>
          <w:trHeight w:val="752" w:hRule="atLeast"/>
        </w:trPr>
        <w:tc>
          <w:tcPr>
            <w:tcW w:w="10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8</w:t>
            </w:r>
          </w:p>
        </w:tc>
        <w:tc>
          <w:tcPr>
            <w:tcW w:w="1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分包</w:t>
            </w:r>
          </w:p>
        </w:tc>
        <w:tc>
          <w:tcPr>
            <w:tcW w:w="7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60" w:lineRule="exact"/>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b/>
                <w:snapToGrid w:val="0"/>
                <w:color w:val="000000" w:themeColor="text1"/>
                <w:sz w:val="22"/>
                <w:szCs w:val="22"/>
                <w:highlight w:val="none"/>
                <w14:textFill>
                  <w14:solidFill>
                    <w14:schemeClr w14:val="tx1"/>
                  </w14:solidFill>
                </w14:textFill>
              </w:rPr>
              <w:sym w:font="Wingdings" w:char="F0FE"/>
            </w:r>
            <w:r>
              <w:rPr>
                <w:rFonts w:hint="eastAsia" w:ascii="宋体" w:hAnsi="宋体" w:eastAsia="宋体" w:cs="宋体"/>
                <w:color w:val="000000" w:themeColor="text1"/>
                <w:kern w:val="0"/>
                <w:sz w:val="22"/>
                <w:szCs w:val="22"/>
                <w:highlight w:val="none"/>
                <w14:textFill>
                  <w14:solidFill>
                    <w14:schemeClr w14:val="tx1"/>
                  </w14:solidFill>
                </w14:textFill>
              </w:rPr>
              <w:t>不允许</w:t>
            </w:r>
          </w:p>
        </w:tc>
      </w:tr>
      <w:tr>
        <w:tblPrEx>
          <w:tblCellMar>
            <w:top w:w="0" w:type="dxa"/>
            <w:left w:w="108" w:type="dxa"/>
            <w:bottom w:w="0" w:type="dxa"/>
            <w:right w:w="108" w:type="dxa"/>
          </w:tblCellMar>
        </w:tblPrEx>
        <w:trPr>
          <w:trHeight w:val="1124" w:hRule="atLeast"/>
        </w:trPr>
        <w:tc>
          <w:tcPr>
            <w:tcW w:w="10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9</w:t>
            </w:r>
          </w:p>
        </w:tc>
        <w:tc>
          <w:tcPr>
            <w:tcW w:w="1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偏离</w:t>
            </w:r>
          </w:p>
        </w:tc>
        <w:tc>
          <w:tcPr>
            <w:tcW w:w="7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60" w:lineRule="exact"/>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偏差允许幅度及其处理方法：允许细微偏差，不允许重大偏差。由评审小组判断，细微偏差要求供应商在评标结束前予以澄清</w:t>
            </w:r>
            <w:bookmarkStart w:id="205" w:name="_GoBack"/>
            <w:bookmarkEnd w:id="205"/>
            <w:r>
              <w:rPr>
                <w:rFonts w:hint="eastAsia" w:ascii="宋体" w:hAnsi="宋体" w:eastAsia="宋体" w:cs="宋体"/>
                <w:color w:val="000000" w:themeColor="text1"/>
                <w:kern w:val="0"/>
                <w:sz w:val="22"/>
                <w:szCs w:val="22"/>
                <w:highlight w:val="none"/>
                <w14:textFill>
                  <w14:solidFill>
                    <w14:schemeClr w14:val="tx1"/>
                  </w14:solidFill>
                </w14:textFill>
              </w:rPr>
              <w:t>、说明或补正，不接受要求进行的，评审小组有权做无效标处理，详见评标</w:t>
            </w: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原则及方法</w:t>
            </w:r>
            <w:r>
              <w:rPr>
                <w:rFonts w:hint="eastAsia" w:ascii="宋体" w:hAnsi="宋体" w:eastAsia="宋体" w:cs="宋体"/>
                <w:color w:val="000000" w:themeColor="text1"/>
                <w:kern w:val="0"/>
                <w:sz w:val="22"/>
                <w:szCs w:val="22"/>
                <w:highlight w:val="none"/>
                <w14:textFill>
                  <w14:solidFill>
                    <w14:schemeClr w14:val="tx1"/>
                  </w14:solidFill>
                </w14:textFill>
              </w:rPr>
              <w:t>。</w:t>
            </w:r>
          </w:p>
        </w:tc>
      </w:tr>
      <w:tr>
        <w:tblPrEx>
          <w:tblCellMar>
            <w:top w:w="0" w:type="dxa"/>
            <w:left w:w="108" w:type="dxa"/>
            <w:bottom w:w="0" w:type="dxa"/>
            <w:right w:w="108" w:type="dxa"/>
          </w:tblCellMar>
        </w:tblPrEx>
        <w:trPr>
          <w:trHeight w:val="409" w:hRule="atLeast"/>
        </w:trPr>
        <w:tc>
          <w:tcPr>
            <w:tcW w:w="10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1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文件有效期</w:t>
            </w:r>
          </w:p>
        </w:tc>
        <w:tc>
          <w:tcPr>
            <w:tcW w:w="7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60" w:lineRule="exact"/>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自单一来源响应文件提交截止时间起生效，有效期90天。</w:t>
            </w:r>
          </w:p>
        </w:tc>
      </w:tr>
      <w:tr>
        <w:tblPrEx>
          <w:tblCellMar>
            <w:top w:w="0" w:type="dxa"/>
            <w:left w:w="108" w:type="dxa"/>
            <w:bottom w:w="0" w:type="dxa"/>
            <w:right w:w="108" w:type="dxa"/>
          </w:tblCellMar>
        </w:tblPrEx>
        <w:trPr>
          <w:trHeight w:val="464" w:hRule="atLeast"/>
        </w:trPr>
        <w:tc>
          <w:tcPr>
            <w:tcW w:w="10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11</w:t>
            </w:r>
          </w:p>
        </w:tc>
        <w:tc>
          <w:tcPr>
            <w:tcW w:w="1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保证金</w:t>
            </w:r>
          </w:p>
        </w:tc>
        <w:tc>
          <w:tcPr>
            <w:tcW w:w="7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60" w:lineRule="exact"/>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保证金金额：▲</w:t>
            </w:r>
            <w:r>
              <w:rPr>
                <w:rStyle w:val="31"/>
                <w:rFonts w:hint="eastAsia" w:ascii="宋体" w:hAnsi="宋体" w:eastAsia="宋体" w:cs="宋体"/>
                <w:color w:val="000000"/>
                <w:sz w:val="22"/>
                <w:szCs w:val="22"/>
                <w:highlight w:val="none"/>
                <w:u w:val="single"/>
              </w:rPr>
              <w:t>人民币</w:t>
            </w:r>
            <w:r>
              <w:rPr>
                <w:rStyle w:val="31"/>
                <w:rFonts w:hint="eastAsia" w:ascii="宋体" w:hAnsi="宋体" w:eastAsia="宋体" w:cs="宋体"/>
                <w:color w:val="000000"/>
                <w:sz w:val="22"/>
                <w:szCs w:val="22"/>
                <w:highlight w:val="none"/>
                <w:u w:val="single"/>
                <w:lang w:val="en-US" w:eastAsia="zh-CN"/>
              </w:rPr>
              <w:t>肆</w:t>
            </w:r>
            <w:r>
              <w:rPr>
                <w:rStyle w:val="31"/>
                <w:rFonts w:hint="eastAsia" w:ascii="宋体" w:hAnsi="宋体" w:eastAsia="宋体" w:cs="宋体"/>
                <w:color w:val="000000"/>
                <w:sz w:val="22"/>
                <w:szCs w:val="22"/>
                <w:highlight w:val="none"/>
                <w:u w:val="single"/>
              </w:rPr>
              <w:t>仟</w:t>
            </w:r>
            <w:r>
              <w:rPr>
                <w:rStyle w:val="31"/>
                <w:rFonts w:hint="eastAsia" w:ascii="宋体" w:hAnsi="宋体" w:eastAsia="宋体" w:cs="宋体"/>
                <w:color w:val="000000"/>
                <w:sz w:val="22"/>
                <w:szCs w:val="22"/>
                <w:highlight w:val="none"/>
                <w:u w:val="single"/>
                <w:lang w:val="en-US" w:eastAsia="zh-CN"/>
              </w:rPr>
              <w:t>捌</w:t>
            </w:r>
            <w:r>
              <w:rPr>
                <w:rStyle w:val="31"/>
                <w:rFonts w:hint="eastAsia" w:ascii="宋体" w:hAnsi="宋体" w:eastAsia="宋体" w:cs="宋体"/>
                <w:color w:val="000000"/>
                <w:sz w:val="22"/>
                <w:szCs w:val="22"/>
                <w:highlight w:val="none"/>
                <w:u w:val="single"/>
              </w:rPr>
              <w:t>佰元整</w:t>
            </w:r>
            <w:r>
              <w:rPr>
                <w:rFonts w:hint="eastAsia" w:ascii="宋体" w:hAnsi="宋体" w:eastAsia="宋体" w:cs="宋体"/>
                <w:color w:val="000000" w:themeColor="text1"/>
                <w:kern w:val="0"/>
                <w:sz w:val="22"/>
                <w:szCs w:val="22"/>
                <w:highlight w:val="none"/>
                <w14:textFill>
                  <w14:solidFill>
                    <w14:schemeClr w14:val="tx1"/>
                  </w14:solidFill>
                </w14:textFill>
              </w:rPr>
              <w:t>（供应商须在单一来源响应文件提交截止时间前将保证金以银行转帐形式缴纳并到帐，汇出账号须为供应商银行帐户）</w:t>
            </w:r>
          </w:p>
          <w:p>
            <w:pPr>
              <w:keepNext w:val="0"/>
              <w:keepLines w:val="0"/>
              <w:pageBreakBefore w:val="0"/>
              <w:widowControl/>
              <w:kinsoku/>
              <w:overflowPunct/>
              <w:topLinePunct w:val="0"/>
              <w:autoSpaceDE/>
              <w:autoSpaceDN/>
              <w:bidi w:val="0"/>
              <w:spacing w:line="360" w:lineRule="exact"/>
              <w:ind w:left="420"/>
              <w:jc w:val="left"/>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户名：政采云有限公司</w:t>
            </w:r>
          </w:p>
          <w:p>
            <w:pPr>
              <w:keepNext w:val="0"/>
              <w:keepLines w:val="0"/>
              <w:pageBreakBefore w:val="0"/>
              <w:kinsoku/>
              <w:wordWrap w:val="0"/>
              <w:overflowPunct/>
              <w:topLinePunct w:val="0"/>
              <w:autoSpaceDE/>
              <w:autoSpaceDN/>
              <w:bidi w:val="0"/>
              <w:spacing w:line="360" w:lineRule="exact"/>
              <w:ind w:firstLine="431" w:firstLineChars="196"/>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开户银行：中国农业银行杭州西湖支行</w:t>
            </w:r>
          </w:p>
          <w:p>
            <w:pPr>
              <w:keepNext w:val="0"/>
              <w:keepLines w:val="0"/>
              <w:pageBreakBefore w:val="0"/>
              <w:kinsoku/>
              <w:wordWrap w:val="0"/>
              <w:overflowPunct/>
              <w:topLinePunct w:val="0"/>
              <w:autoSpaceDE/>
              <w:autoSpaceDN/>
              <w:bidi w:val="0"/>
              <w:spacing w:line="360" w:lineRule="exact"/>
              <w:ind w:firstLine="431" w:firstLineChars="196"/>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账号：190001010400276210000003344</w:t>
            </w:r>
          </w:p>
        </w:tc>
      </w:tr>
      <w:tr>
        <w:tblPrEx>
          <w:tblCellMar>
            <w:top w:w="0" w:type="dxa"/>
            <w:left w:w="108" w:type="dxa"/>
            <w:bottom w:w="0" w:type="dxa"/>
            <w:right w:w="108" w:type="dxa"/>
          </w:tblCellMar>
        </w:tblPrEx>
        <w:trPr>
          <w:trHeight w:val="752" w:hRule="atLeast"/>
        </w:trPr>
        <w:tc>
          <w:tcPr>
            <w:tcW w:w="10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12</w:t>
            </w:r>
          </w:p>
        </w:tc>
        <w:tc>
          <w:tcPr>
            <w:tcW w:w="1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提交单一来源响应文件地点</w:t>
            </w:r>
          </w:p>
        </w:tc>
        <w:tc>
          <w:tcPr>
            <w:tcW w:w="7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60" w:lineRule="exact"/>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见采购公告</w:t>
            </w:r>
          </w:p>
        </w:tc>
      </w:tr>
      <w:tr>
        <w:tblPrEx>
          <w:tblCellMar>
            <w:top w:w="0" w:type="dxa"/>
            <w:left w:w="108" w:type="dxa"/>
            <w:bottom w:w="0" w:type="dxa"/>
            <w:right w:w="108" w:type="dxa"/>
          </w:tblCellMar>
        </w:tblPrEx>
        <w:trPr>
          <w:trHeight w:val="752" w:hRule="atLeast"/>
        </w:trPr>
        <w:tc>
          <w:tcPr>
            <w:tcW w:w="10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13</w:t>
            </w:r>
          </w:p>
        </w:tc>
        <w:tc>
          <w:tcPr>
            <w:tcW w:w="1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开标时间和地点</w:t>
            </w:r>
          </w:p>
        </w:tc>
        <w:tc>
          <w:tcPr>
            <w:tcW w:w="7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60" w:lineRule="exact"/>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见</w:t>
            </w:r>
            <w:r>
              <w:rPr>
                <w:rFonts w:hint="eastAsia" w:ascii="宋体" w:hAnsi="宋体" w:eastAsia="宋体" w:cs="宋体"/>
                <w:color w:val="000000" w:themeColor="text1"/>
                <w:sz w:val="22"/>
                <w:szCs w:val="22"/>
                <w:highlight w:val="none"/>
                <w14:textFill>
                  <w14:solidFill>
                    <w14:schemeClr w14:val="tx1"/>
                  </w14:solidFill>
                </w14:textFill>
              </w:rPr>
              <w:t>采购公告</w:t>
            </w:r>
          </w:p>
        </w:tc>
      </w:tr>
      <w:tr>
        <w:tblPrEx>
          <w:tblCellMar>
            <w:top w:w="0" w:type="dxa"/>
            <w:left w:w="108" w:type="dxa"/>
            <w:bottom w:w="0" w:type="dxa"/>
            <w:right w:w="108" w:type="dxa"/>
          </w:tblCellMar>
        </w:tblPrEx>
        <w:trPr>
          <w:trHeight w:val="752" w:hRule="atLeast"/>
        </w:trPr>
        <w:tc>
          <w:tcPr>
            <w:tcW w:w="10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14</w:t>
            </w:r>
          </w:p>
        </w:tc>
        <w:tc>
          <w:tcPr>
            <w:tcW w:w="1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开评标程序</w:t>
            </w:r>
          </w:p>
        </w:tc>
        <w:tc>
          <w:tcPr>
            <w:tcW w:w="7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60" w:lineRule="exact"/>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密封情况检查</w:t>
            </w:r>
            <w:r>
              <w:rPr>
                <w:rFonts w:hint="eastAsia" w:ascii="宋体" w:hAnsi="宋体" w:eastAsia="宋体" w:cs="宋体"/>
                <w:color w:val="000000" w:themeColor="text1"/>
                <w:kern w:val="0"/>
                <w:sz w:val="22"/>
                <w:szCs w:val="22"/>
                <w:highlight w:val="none"/>
                <w14:textFill>
                  <w14:solidFill>
                    <w14:schemeClr w14:val="tx1"/>
                  </w14:solidFill>
                </w14:textFill>
              </w:rPr>
              <w:sym w:font="Wingdings" w:char="F0E8"/>
            </w:r>
            <w:r>
              <w:rPr>
                <w:rFonts w:hint="eastAsia" w:ascii="宋体" w:hAnsi="宋体" w:eastAsia="宋体" w:cs="宋体"/>
                <w:color w:val="000000" w:themeColor="text1"/>
                <w:kern w:val="0"/>
                <w:sz w:val="22"/>
                <w:szCs w:val="22"/>
                <w:highlight w:val="none"/>
                <w14:textFill>
                  <w14:solidFill>
                    <w14:schemeClr w14:val="tx1"/>
                  </w14:solidFill>
                </w14:textFill>
              </w:rPr>
              <w:t>开启</w:t>
            </w:r>
            <w:r>
              <w:rPr>
                <w:rFonts w:hint="eastAsia" w:ascii="宋体" w:hAnsi="宋体" w:eastAsia="宋体" w:cs="宋体"/>
                <w:color w:val="000000" w:themeColor="text1"/>
                <w:sz w:val="22"/>
                <w:szCs w:val="22"/>
                <w:highlight w:val="none"/>
                <w14:textFill>
                  <w14:solidFill>
                    <w14:schemeClr w14:val="tx1"/>
                  </w14:solidFill>
                </w14:textFill>
              </w:rPr>
              <w:t>单一来源响应文件</w:t>
            </w:r>
            <w:r>
              <w:rPr>
                <w:rFonts w:hint="eastAsia" w:ascii="宋体" w:hAnsi="宋体" w:eastAsia="宋体" w:cs="宋体"/>
                <w:color w:val="000000" w:themeColor="text1"/>
                <w:sz w:val="22"/>
                <w:szCs w:val="22"/>
                <w:highlight w:val="none"/>
                <w14:textFill>
                  <w14:solidFill>
                    <w14:schemeClr w14:val="tx1"/>
                  </w14:solidFill>
                </w14:textFill>
              </w:rPr>
              <w:sym w:font="Wingdings" w:char="F0E8"/>
            </w:r>
            <w:r>
              <w:rPr>
                <w:rFonts w:hint="eastAsia" w:ascii="宋体" w:hAnsi="宋体" w:eastAsia="宋体" w:cs="宋体"/>
                <w:color w:val="000000" w:themeColor="text1"/>
                <w:sz w:val="22"/>
                <w:szCs w:val="22"/>
                <w:highlight w:val="none"/>
                <w14:textFill>
                  <w14:solidFill>
                    <w14:schemeClr w14:val="tx1"/>
                  </w14:solidFill>
                </w14:textFill>
              </w:rPr>
              <w:t>资格性审查</w:t>
            </w:r>
            <w:r>
              <w:rPr>
                <w:rFonts w:hint="eastAsia" w:ascii="宋体" w:hAnsi="宋体" w:eastAsia="宋体" w:cs="宋体"/>
                <w:color w:val="000000" w:themeColor="text1"/>
                <w:sz w:val="22"/>
                <w:szCs w:val="22"/>
                <w:highlight w:val="none"/>
                <w14:textFill>
                  <w14:solidFill>
                    <w14:schemeClr w14:val="tx1"/>
                  </w14:solidFill>
                </w14:textFill>
              </w:rPr>
              <w:sym w:font="Wingdings" w:char="F0E8"/>
            </w:r>
            <w:r>
              <w:rPr>
                <w:rFonts w:hint="eastAsia" w:ascii="宋体" w:hAnsi="宋体" w:eastAsia="宋体" w:cs="宋体"/>
                <w:color w:val="000000" w:themeColor="text1"/>
                <w:sz w:val="22"/>
                <w:szCs w:val="22"/>
                <w:highlight w:val="none"/>
                <w14:textFill>
                  <w14:solidFill>
                    <w14:schemeClr w14:val="tx1"/>
                  </w14:solidFill>
                </w14:textFill>
              </w:rPr>
              <w:t>符合性审查</w:t>
            </w:r>
            <w:r>
              <w:rPr>
                <w:rFonts w:hint="eastAsia" w:ascii="宋体" w:hAnsi="宋体" w:eastAsia="宋体" w:cs="宋体"/>
                <w:color w:val="000000" w:themeColor="text1"/>
                <w:sz w:val="22"/>
                <w:szCs w:val="22"/>
                <w:highlight w:val="none"/>
                <w14:textFill>
                  <w14:solidFill>
                    <w14:schemeClr w14:val="tx1"/>
                  </w14:solidFill>
                </w14:textFill>
              </w:rPr>
              <w:sym w:font="Wingdings" w:char="F0E8"/>
            </w:r>
            <w:r>
              <w:rPr>
                <w:rFonts w:hint="eastAsia" w:ascii="宋体" w:hAnsi="宋体" w:eastAsia="宋体" w:cs="宋体"/>
                <w:color w:val="000000" w:themeColor="text1"/>
                <w:sz w:val="22"/>
                <w:szCs w:val="22"/>
                <w:highlight w:val="none"/>
                <w14:textFill>
                  <w14:solidFill>
                    <w14:schemeClr w14:val="tx1"/>
                  </w14:solidFill>
                </w14:textFill>
              </w:rPr>
              <w:t>多轮报价</w:t>
            </w:r>
            <w:r>
              <w:rPr>
                <w:rFonts w:hint="eastAsia" w:ascii="宋体" w:hAnsi="宋体" w:eastAsia="宋体" w:cs="宋体"/>
                <w:color w:val="000000" w:themeColor="text1"/>
                <w:sz w:val="22"/>
                <w:szCs w:val="22"/>
                <w:highlight w:val="none"/>
                <w14:textFill>
                  <w14:solidFill>
                    <w14:schemeClr w14:val="tx1"/>
                  </w14:solidFill>
                </w14:textFill>
              </w:rPr>
              <w:sym w:font="Wingdings" w:char="F0E8"/>
            </w:r>
            <w:r>
              <w:rPr>
                <w:rFonts w:hint="eastAsia" w:ascii="宋体" w:hAnsi="宋体" w:eastAsia="宋体" w:cs="宋体"/>
                <w:color w:val="000000" w:themeColor="text1"/>
                <w:sz w:val="22"/>
                <w:szCs w:val="22"/>
                <w:highlight w:val="none"/>
                <w14:textFill>
                  <w14:solidFill>
                    <w14:schemeClr w14:val="tx1"/>
                  </w14:solidFill>
                </w14:textFill>
              </w:rPr>
              <w:t>报价评审</w:t>
            </w:r>
            <w:r>
              <w:rPr>
                <w:rFonts w:hint="eastAsia" w:ascii="宋体" w:hAnsi="宋体" w:eastAsia="宋体" w:cs="宋体"/>
                <w:color w:val="000000" w:themeColor="text1"/>
                <w:sz w:val="22"/>
                <w:szCs w:val="22"/>
                <w:highlight w:val="none"/>
                <w14:textFill>
                  <w14:solidFill>
                    <w14:schemeClr w14:val="tx1"/>
                  </w14:solidFill>
                </w14:textFill>
              </w:rPr>
              <w:sym w:font="Wingdings" w:char="F0E8"/>
            </w:r>
            <w:r>
              <w:rPr>
                <w:rFonts w:hint="eastAsia" w:ascii="宋体" w:hAnsi="宋体" w:eastAsia="宋体" w:cs="宋体"/>
                <w:color w:val="000000" w:themeColor="text1"/>
                <w:sz w:val="22"/>
                <w:szCs w:val="22"/>
                <w:highlight w:val="none"/>
                <w14:textFill>
                  <w14:solidFill>
                    <w14:schemeClr w14:val="tx1"/>
                  </w14:solidFill>
                </w14:textFill>
              </w:rPr>
              <w:t>提交评审报告</w:t>
            </w:r>
          </w:p>
        </w:tc>
      </w:tr>
      <w:tr>
        <w:tblPrEx>
          <w:tblCellMar>
            <w:top w:w="0" w:type="dxa"/>
            <w:left w:w="108" w:type="dxa"/>
            <w:bottom w:w="0" w:type="dxa"/>
            <w:right w:w="108" w:type="dxa"/>
          </w:tblCellMar>
        </w:tblPrEx>
        <w:trPr>
          <w:trHeight w:val="1124" w:hRule="atLeast"/>
        </w:trPr>
        <w:tc>
          <w:tcPr>
            <w:tcW w:w="10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15</w:t>
            </w:r>
          </w:p>
        </w:tc>
        <w:tc>
          <w:tcPr>
            <w:tcW w:w="1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评审小组</w:t>
            </w:r>
          </w:p>
          <w:p>
            <w:pPr>
              <w:keepNext w:val="0"/>
              <w:keepLines w:val="0"/>
              <w:pageBreakBefore w:val="0"/>
              <w:kinsoku/>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的组建</w:t>
            </w:r>
          </w:p>
        </w:tc>
        <w:tc>
          <w:tcPr>
            <w:tcW w:w="7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60" w:lineRule="exact"/>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评审小组成员由采购人代表和有关技术、经济等方面的专家组成，成员人数为3人或以上单数，除采购人代表外的专家将在政采云的评标专家库中随机抽取产生。</w:t>
            </w:r>
          </w:p>
        </w:tc>
      </w:tr>
      <w:tr>
        <w:tblPrEx>
          <w:tblCellMar>
            <w:top w:w="0" w:type="dxa"/>
            <w:left w:w="108" w:type="dxa"/>
            <w:bottom w:w="0" w:type="dxa"/>
            <w:right w:w="108" w:type="dxa"/>
          </w:tblCellMar>
        </w:tblPrEx>
        <w:trPr>
          <w:trHeight w:val="90" w:hRule="atLeast"/>
        </w:trPr>
        <w:tc>
          <w:tcPr>
            <w:tcW w:w="10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kern w:val="0"/>
                <w:sz w:val="22"/>
                <w:szCs w:val="22"/>
                <w:highlight w:val="none"/>
                <w:lang w:val="zh-CN"/>
              </w:rPr>
              <w:t>16</w:t>
            </w:r>
          </w:p>
        </w:tc>
        <w:tc>
          <w:tcPr>
            <w:tcW w:w="1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kern w:val="0"/>
                <w:sz w:val="22"/>
                <w:szCs w:val="22"/>
                <w:highlight w:val="none"/>
              </w:rPr>
              <w:t>履约保证金</w:t>
            </w:r>
          </w:p>
        </w:tc>
        <w:tc>
          <w:tcPr>
            <w:tcW w:w="7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napToGrid w:val="0"/>
              <w:spacing w:line="360" w:lineRule="exact"/>
              <w:textAlignment w:val="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fldChar w:fldCharType="begin"/>
            </w:r>
            <w:r>
              <w:rPr>
                <w:rFonts w:hint="eastAsia" w:ascii="宋体" w:hAnsi="宋体" w:eastAsia="宋体" w:cs="宋体"/>
                <w:kern w:val="0"/>
                <w:sz w:val="22"/>
                <w:szCs w:val="22"/>
                <w:highlight w:val="none"/>
              </w:rPr>
              <w:instrText xml:space="preserve"> eq \o\ac(</w:instrText>
            </w:r>
            <w:r>
              <w:rPr>
                <w:rFonts w:hint="eastAsia" w:ascii="宋体" w:hAnsi="宋体" w:eastAsia="宋体" w:cs="宋体"/>
                <w:kern w:val="0"/>
                <w:position w:val="-4"/>
                <w:sz w:val="33"/>
                <w:szCs w:val="22"/>
                <w:highlight w:val="none"/>
              </w:rPr>
              <w:instrText xml:space="preserve">□</w:instrText>
            </w:r>
            <w:r>
              <w:rPr>
                <w:rFonts w:hint="eastAsia" w:ascii="宋体" w:hAnsi="宋体" w:eastAsia="宋体" w:cs="宋体"/>
                <w:kern w:val="0"/>
                <w:position w:val="0"/>
                <w:sz w:val="22"/>
                <w:szCs w:val="22"/>
                <w:highlight w:val="none"/>
              </w:rPr>
              <w:instrText xml:space="preserve">,√)</w:instrText>
            </w:r>
            <w:r>
              <w:rPr>
                <w:rFonts w:hint="eastAsia" w:ascii="宋体" w:hAnsi="宋体" w:eastAsia="宋体" w:cs="宋体"/>
                <w:kern w:val="0"/>
                <w:sz w:val="22"/>
                <w:szCs w:val="22"/>
                <w:highlight w:val="none"/>
              </w:rPr>
              <w:fldChar w:fldCharType="end"/>
            </w:r>
            <w:r>
              <w:rPr>
                <w:rFonts w:hint="eastAsia" w:ascii="宋体" w:hAnsi="宋体" w:eastAsia="宋体" w:cs="宋体"/>
                <w:kern w:val="0"/>
                <w:sz w:val="22"/>
                <w:szCs w:val="22"/>
                <w:highlight w:val="none"/>
              </w:rPr>
              <w:t>需要</w:t>
            </w:r>
          </w:p>
          <w:p>
            <w:pPr>
              <w:keepNext w:val="0"/>
              <w:keepLines w:val="0"/>
              <w:pageBreakBefore w:val="0"/>
              <w:kinsoku/>
              <w:overflowPunct/>
              <w:topLinePunct w:val="0"/>
              <w:autoSpaceDE/>
              <w:autoSpaceDN/>
              <w:bidi w:val="0"/>
              <w:snapToGrid w:val="0"/>
              <w:spacing w:line="360" w:lineRule="exact"/>
              <w:textAlignment w:val="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履约保证金的形式：</w:t>
            </w:r>
            <w:r>
              <w:rPr>
                <w:rFonts w:hint="eastAsia" w:ascii="宋体" w:hAnsi="宋体" w:eastAsia="宋体" w:cs="宋体"/>
                <w:color w:val="000000"/>
                <w:kern w:val="0"/>
                <w:sz w:val="22"/>
                <w:szCs w:val="22"/>
                <w:highlight w:val="none"/>
              </w:rPr>
              <w:t>银行转账或保函（银行、保险公司出具）</w:t>
            </w:r>
            <w:r>
              <w:rPr>
                <w:rFonts w:hint="eastAsia" w:ascii="宋体" w:hAnsi="宋体" w:eastAsia="宋体" w:cs="宋体"/>
                <w:kern w:val="0"/>
                <w:sz w:val="22"/>
                <w:szCs w:val="22"/>
                <w:highlight w:val="none"/>
              </w:rPr>
              <w:t>。</w:t>
            </w:r>
          </w:p>
          <w:p>
            <w:pPr>
              <w:keepNext w:val="0"/>
              <w:keepLines w:val="0"/>
              <w:pageBreakBefore w:val="0"/>
              <w:kinsoku/>
              <w:overflowPunct/>
              <w:topLinePunct w:val="0"/>
              <w:autoSpaceDE/>
              <w:autoSpaceDN/>
              <w:bidi w:val="0"/>
              <w:spacing w:line="360" w:lineRule="exact"/>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kern w:val="0"/>
                <w:sz w:val="22"/>
                <w:szCs w:val="22"/>
                <w:highlight w:val="none"/>
              </w:rPr>
              <w:t>履约保证金的金额：</w:t>
            </w:r>
            <w:r>
              <w:rPr>
                <w:rFonts w:hint="eastAsia" w:ascii="宋体" w:hAnsi="宋体" w:eastAsia="宋体" w:cs="宋体"/>
                <w:b/>
                <w:kern w:val="0"/>
                <w:sz w:val="22"/>
                <w:szCs w:val="22"/>
                <w:highlight w:val="none"/>
              </w:rPr>
              <w:t>合同价款的</w:t>
            </w:r>
            <w:r>
              <w:rPr>
                <w:rFonts w:hint="eastAsia" w:ascii="宋体" w:hAnsi="宋体" w:eastAsia="宋体" w:cs="宋体"/>
                <w:b/>
                <w:kern w:val="0"/>
                <w:sz w:val="22"/>
                <w:szCs w:val="22"/>
                <w:highlight w:val="none"/>
                <w:lang w:val="en-US" w:eastAsia="zh-CN"/>
              </w:rPr>
              <w:t>5</w:t>
            </w:r>
            <w:r>
              <w:rPr>
                <w:rFonts w:hint="eastAsia" w:ascii="宋体" w:hAnsi="宋体" w:eastAsia="宋体" w:cs="宋体"/>
                <w:b/>
                <w:kern w:val="0"/>
                <w:sz w:val="22"/>
                <w:szCs w:val="22"/>
                <w:highlight w:val="none"/>
              </w:rPr>
              <w:t>%</w:t>
            </w:r>
            <w:r>
              <w:rPr>
                <w:rFonts w:hint="eastAsia" w:ascii="宋体" w:hAnsi="宋体" w:eastAsia="宋体" w:cs="宋体"/>
                <w:bCs/>
                <w:kern w:val="0"/>
                <w:sz w:val="22"/>
                <w:szCs w:val="22"/>
                <w:highlight w:val="none"/>
              </w:rPr>
              <w:t>。</w:t>
            </w:r>
            <w:r>
              <w:rPr>
                <w:rFonts w:hint="eastAsia" w:ascii="宋体" w:hAnsi="宋体" w:eastAsia="宋体" w:cs="宋体"/>
                <w:bCs/>
                <w:color w:val="FF0000"/>
                <w:kern w:val="0"/>
                <w:sz w:val="22"/>
                <w:szCs w:val="22"/>
                <w:highlight w:val="none"/>
              </w:rPr>
              <w:t xml:space="preserve"> </w:t>
            </w:r>
          </w:p>
        </w:tc>
      </w:tr>
      <w:tr>
        <w:tblPrEx>
          <w:tblCellMar>
            <w:top w:w="0" w:type="dxa"/>
            <w:left w:w="108" w:type="dxa"/>
            <w:bottom w:w="0" w:type="dxa"/>
            <w:right w:w="108" w:type="dxa"/>
          </w:tblCellMar>
        </w:tblPrEx>
        <w:trPr>
          <w:trHeight w:val="90" w:hRule="atLeast"/>
        </w:trPr>
        <w:tc>
          <w:tcPr>
            <w:tcW w:w="10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60" w:lineRule="exact"/>
              <w:jc w:val="center"/>
              <w:textAlignment w:val="auto"/>
              <w:rPr>
                <w:rFonts w:hint="eastAsia" w:ascii="宋体" w:hAnsi="宋体" w:eastAsia="宋体" w:cs="宋体"/>
                <w:kern w:val="0"/>
                <w:sz w:val="22"/>
                <w:szCs w:val="22"/>
                <w:highlight w:val="none"/>
                <w:lang w:val="zh-CN"/>
              </w:rPr>
            </w:pPr>
            <w:r>
              <w:rPr>
                <w:rFonts w:hint="eastAsia" w:ascii="宋体" w:hAnsi="宋体" w:eastAsia="宋体" w:cs="宋体"/>
                <w:kern w:val="0"/>
                <w:sz w:val="22"/>
                <w:szCs w:val="22"/>
                <w:highlight w:val="none"/>
                <w:lang w:val="zh-CN"/>
              </w:rPr>
              <w:t>17</w:t>
            </w:r>
          </w:p>
        </w:tc>
        <w:tc>
          <w:tcPr>
            <w:tcW w:w="1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60" w:lineRule="exact"/>
              <w:jc w:val="center"/>
              <w:textAlignment w:val="auto"/>
              <w:rPr>
                <w:rFonts w:hint="eastAsia" w:ascii="宋体" w:hAnsi="宋体" w:eastAsia="宋体" w:cs="宋体"/>
                <w:kern w:val="0"/>
                <w:sz w:val="22"/>
                <w:szCs w:val="22"/>
                <w:highlight w:val="none"/>
              </w:rPr>
            </w:pPr>
            <w:r>
              <w:rPr>
                <w:rFonts w:hint="eastAsia" w:ascii="宋体" w:hAnsi="宋体" w:eastAsia="宋体" w:cs="宋体"/>
                <w:sz w:val="22"/>
                <w:szCs w:val="22"/>
                <w:highlight w:val="none"/>
              </w:rPr>
              <w:t>合同备案</w:t>
            </w:r>
          </w:p>
        </w:tc>
        <w:tc>
          <w:tcPr>
            <w:tcW w:w="7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napToGrid w:val="0"/>
              <w:spacing w:line="360" w:lineRule="exact"/>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（1）中标人在中标通知书发出之日起30日历天内与采购人签订合同。</w:t>
            </w:r>
          </w:p>
          <w:p>
            <w:pPr>
              <w:keepNext w:val="0"/>
              <w:keepLines w:val="0"/>
              <w:pageBreakBefore w:val="0"/>
              <w:kinsoku/>
              <w:overflowPunct/>
              <w:topLinePunct w:val="0"/>
              <w:autoSpaceDE/>
              <w:autoSpaceDN/>
              <w:bidi w:val="0"/>
              <w:snapToGrid w:val="0"/>
              <w:spacing w:line="360" w:lineRule="exact"/>
              <w:textAlignment w:val="auto"/>
              <w:rPr>
                <w:rFonts w:hint="eastAsia" w:ascii="宋体" w:hAnsi="宋体" w:eastAsia="宋体" w:cs="宋体"/>
                <w:kern w:val="0"/>
                <w:sz w:val="22"/>
                <w:szCs w:val="22"/>
                <w:highlight w:val="none"/>
              </w:rPr>
            </w:pPr>
            <w:r>
              <w:rPr>
                <w:rFonts w:hint="eastAsia" w:ascii="宋体" w:hAnsi="宋体" w:eastAsia="宋体" w:cs="宋体"/>
                <w:sz w:val="22"/>
                <w:szCs w:val="22"/>
                <w:highlight w:val="none"/>
              </w:rPr>
              <w:t>（2）中标人与采购人签订合同后，2日历天内将合同扫描件电子版发给采购代理机构：邮箱：</w:t>
            </w:r>
            <w:r>
              <w:rPr>
                <w:rFonts w:hint="eastAsia" w:ascii="宋体" w:hAnsi="宋体" w:eastAsia="宋体" w:cs="宋体"/>
                <w:b/>
                <w:sz w:val="22"/>
                <w:szCs w:val="22"/>
                <w:highlight w:val="none"/>
                <w:u w:val="single"/>
              </w:rPr>
              <w:t>zhejiangchuangjia@126.com</w:t>
            </w:r>
            <w:r>
              <w:rPr>
                <w:rFonts w:hint="eastAsia" w:ascii="宋体" w:hAnsi="宋体" w:eastAsia="宋体" w:cs="宋体"/>
                <w:sz w:val="22"/>
                <w:szCs w:val="22"/>
                <w:highlight w:val="none"/>
              </w:rPr>
              <w:t>。</w:t>
            </w:r>
          </w:p>
        </w:tc>
      </w:tr>
      <w:tr>
        <w:tblPrEx>
          <w:tblCellMar>
            <w:top w:w="0" w:type="dxa"/>
            <w:left w:w="108" w:type="dxa"/>
            <w:bottom w:w="0" w:type="dxa"/>
            <w:right w:w="108" w:type="dxa"/>
          </w:tblCellMar>
        </w:tblPrEx>
        <w:trPr>
          <w:trHeight w:val="90" w:hRule="atLeast"/>
        </w:trPr>
        <w:tc>
          <w:tcPr>
            <w:tcW w:w="10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60" w:lineRule="exact"/>
              <w:jc w:val="center"/>
              <w:textAlignment w:val="auto"/>
              <w:rPr>
                <w:rFonts w:hint="eastAsia" w:ascii="宋体" w:hAnsi="宋体" w:eastAsia="宋体" w:cs="宋体"/>
                <w:kern w:val="0"/>
                <w:sz w:val="22"/>
                <w:szCs w:val="22"/>
                <w:highlight w:val="none"/>
                <w:lang w:val="zh-CN"/>
              </w:rPr>
            </w:pPr>
            <w:r>
              <w:rPr>
                <w:rFonts w:hint="eastAsia" w:ascii="宋体" w:hAnsi="宋体" w:eastAsia="宋体" w:cs="宋体"/>
                <w:kern w:val="0"/>
                <w:sz w:val="22"/>
                <w:szCs w:val="22"/>
                <w:highlight w:val="none"/>
                <w:lang w:val="zh-CN"/>
              </w:rPr>
              <w:t>18</w:t>
            </w:r>
          </w:p>
        </w:tc>
        <w:tc>
          <w:tcPr>
            <w:tcW w:w="1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60" w:lineRule="exact"/>
              <w:jc w:val="center"/>
              <w:textAlignment w:val="auto"/>
              <w:rPr>
                <w:rFonts w:hint="eastAsia" w:ascii="宋体" w:hAnsi="宋体" w:eastAsia="宋体" w:cs="宋体"/>
                <w:kern w:val="0"/>
                <w:sz w:val="22"/>
                <w:szCs w:val="22"/>
                <w:highlight w:val="none"/>
              </w:rPr>
            </w:pPr>
            <w:r>
              <w:rPr>
                <w:rFonts w:hint="eastAsia" w:ascii="宋体" w:hAnsi="宋体" w:eastAsia="宋体" w:cs="宋体"/>
                <w:sz w:val="22"/>
                <w:szCs w:val="22"/>
                <w:highlight w:val="none"/>
              </w:rPr>
              <w:t>质疑与投诉</w:t>
            </w:r>
          </w:p>
        </w:tc>
        <w:tc>
          <w:tcPr>
            <w:tcW w:w="7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napToGrid w:val="0"/>
              <w:spacing w:line="360" w:lineRule="exact"/>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1.供应商认为采购文件、采购过程、中标和成交结果使自己的合法权益受到损害的，可以在知道或应知道其权益受到损害之日起七个工作日内以书面形式向采购人或采购代理机构提出质疑。</w:t>
            </w:r>
          </w:p>
          <w:p>
            <w:pPr>
              <w:keepNext w:val="0"/>
              <w:keepLines w:val="0"/>
              <w:pageBreakBefore w:val="0"/>
              <w:kinsoku/>
              <w:overflowPunct/>
              <w:topLinePunct w:val="0"/>
              <w:autoSpaceDE/>
              <w:autoSpaceDN/>
              <w:bidi w:val="0"/>
              <w:snapToGrid w:val="0"/>
              <w:spacing w:line="36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采购人或采购代理机构在收到供应商的书面质疑后七个工作日内作出答复，但答复的内容不得涉及商业秘密。质疑供应商对采购人或采购代理机构的答复不满意，可以在答复期满后十五个工作日内向采购人的采购监督管理部门投诉。</w:t>
            </w:r>
          </w:p>
          <w:p>
            <w:pPr>
              <w:keepNext w:val="0"/>
              <w:keepLines w:val="0"/>
              <w:pageBreakBefore w:val="0"/>
              <w:kinsoku/>
              <w:overflowPunct/>
              <w:topLinePunct w:val="0"/>
              <w:autoSpaceDE/>
              <w:autoSpaceDN/>
              <w:bidi w:val="0"/>
              <w:snapToGrid w:val="0"/>
              <w:spacing w:line="36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温州市现代服务业发展集团有限公司负责对供应商反映的企业本部及所属企业在采购活动中出现的违法违规问题进行投诉回复。供应商认为温州市现代服务业发展集团有限公司答疑回复处理结果不合法的，可以采购人或代理机构为对象依法向人民法院提起诉讼。</w:t>
            </w:r>
          </w:p>
        </w:tc>
      </w:tr>
      <w:tr>
        <w:tblPrEx>
          <w:tblCellMar>
            <w:top w:w="0" w:type="dxa"/>
            <w:left w:w="108" w:type="dxa"/>
            <w:bottom w:w="0" w:type="dxa"/>
            <w:right w:w="108" w:type="dxa"/>
          </w:tblCellMar>
        </w:tblPrEx>
        <w:trPr>
          <w:trHeight w:val="90" w:hRule="atLeast"/>
        </w:trPr>
        <w:tc>
          <w:tcPr>
            <w:tcW w:w="10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60" w:lineRule="exact"/>
              <w:jc w:val="center"/>
              <w:textAlignment w:val="auto"/>
              <w:rPr>
                <w:rFonts w:hint="eastAsia" w:ascii="宋体" w:hAnsi="宋体" w:eastAsia="宋体" w:cs="宋体"/>
                <w:kern w:val="0"/>
                <w:sz w:val="22"/>
                <w:szCs w:val="22"/>
                <w:highlight w:val="none"/>
                <w:lang w:val="zh-CN"/>
              </w:rPr>
            </w:pPr>
            <w:r>
              <w:rPr>
                <w:rFonts w:hint="eastAsia" w:ascii="宋体" w:hAnsi="宋体" w:eastAsia="宋体" w:cs="宋体"/>
                <w:kern w:val="0"/>
                <w:sz w:val="22"/>
                <w:szCs w:val="22"/>
                <w:highlight w:val="none"/>
                <w:lang w:val="zh-CN"/>
              </w:rPr>
              <w:t>19</w:t>
            </w:r>
          </w:p>
        </w:tc>
        <w:tc>
          <w:tcPr>
            <w:tcW w:w="1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60" w:lineRule="exact"/>
              <w:jc w:val="center"/>
              <w:textAlignment w:val="auto"/>
              <w:rPr>
                <w:rFonts w:hint="eastAsia" w:ascii="宋体" w:hAnsi="宋体" w:eastAsia="宋体" w:cs="宋体"/>
                <w:kern w:val="0"/>
                <w:sz w:val="22"/>
                <w:szCs w:val="22"/>
                <w:highlight w:val="none"/>
              </w:rPr>
            </w:pPr>
            <w:r>
              <w:rPr>
                <w:rFonts w:hint="eastAsia" w:ascii="宋体" w:hAnsi="宋体" w:eastAsia="宋体" w:cs="宋体"/>
                <w:sz w:val="22"/>
                <w:szCs w:val="22"/>
                <w:highlight w:val="none"/>
              </w:rPr>
              <w:t>合同履约管理</w:t>
            </w:r>
          </w:p>
        </w:tc>
        <w:tc>
          <w:tcPr>
            <w:tcW w:w="7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napToGrid w:val="0"/>
              <w:spacing w:line="360" w:lineRule="exact"/>
              <w:textAlignment w:val="auto"/>
              <w:rPr>
                <w:rFonts w:hint="eastAsia" w:ascii="宋体" w:hAnsi="宋体" w:eastAsia="宋体" w:cs="宋体"/>
                <w:kern w:val="0"/>
                <w:sz w:val="22"/>
                <w:szCs w:val="22"/>
                <w:highlight w:val="none"/>
              </w:rPr>
            </w:pPr>
            <w:r>
              <w:rPr>
                <w:rFonts w:hint="eastAsia" w:ascii="宋体" w:hAnsi="宋体" w:eastAsia="宋体" w:cs="宋体"/>
                <w:sz w:val="22"/>
                <w:szCs w:val="22"/>
                <w:highlight w:val="none"/>
              </w:rPr>
              <w:t>合同签订后，采购人依法加强对合同履约进行管理，并在中标单位服务、项目验收等重要关节，如实填写《合同验收报告》（或考核资料），并及时向监管部门报告验收过程中遇到的问题。</w:t>
            </w:r>
          </w:p>
        </w:tc>
      </w:tr>
      <w:tr>
        <w:tblPrEx>
          <w:tblCellMar>
            <w:top w:w="0" w:type="dxa"/>
            <w:left w:w="108" w:type="dxa"/>
            <w:bottom w:w="0" w:type="dxa"/>
            <w:right w:w="108" w:type="dxa"/>
          </w:tblCellMar>
        </w:tblPrEx>
        <w:trPr>
          <w:trHeight w:val="90" w:hRule="atLeast"/>
        </w:trPr>
        <w:tc>
          <w:tcPr>
            <w:tcW w:w="10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60" w:lineRule="exact"/>
              <w:jc w:val="center"/>
              <w:textAlignment w:val="auto"/>
              <w:rPr>
                <w:rFonts w:hint="eastAsia" w:ascii="宋体" w:hAnsi="宋体" w:eastAsia="宋体" w:cs="宋体"/>
                <w:kern w:val="0"/>
                <w:sz w:val="22"/>
                <w:szCs w:val="22"/>
                <w:highlight w:val="none"/>
                <w:lang w:val="zh-CN"/>
              </w:rPr>
            </w:pPr>
            <w:r>
              <w:rPr>
                <w:rFonts w:hint="eastAsia" w:ascii="宋体" w:hAnsi="宋体" w:eastAsia="宋体" w:cs="宋体"/>
                <w:kern w:val="0"/>
                <w:sz w:val="22"/>
                <w:szCs w:val="22"/>
                <w:highlight w:val="none"/>
                <w:lang w:val="zh-CN"/>
              </w:rPr>
              <w:t>20</w:t>
            </w:r>
          </w:p>
        </w:tc>
        <w:tc>
          <w:tcPr>
            <w:tcW w:w="1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60" w:lineRule="exact"/>
              <w:jc w:val="center"/>
              <w:textAlignment w:val="auto"/>
              <w:rPr>
                <w:rFonts w:hint="eastAsia" w:ascii="宋体" w:hAnsi="宋体" w:eastAsia="宋体" w:cs="宋体"/>
                <w:kern w:val="0"/>
                <w:sz w:val="22"/>
                <w:szCs w:val="22"/>
                <w:highlight w:val="none"/>
              </w:rPr>
            </w:pPr>
            <w:r>
              <w:rPr>
                <w:rFonts w:hint="eastAsia" w:ascii="宋体" w:hAnsi="宋体" w:eastAsia="宋体" w:cs="宋体"/>
                <w:sz w:val="22"/>
                <w:szCs w:val="22"/>
                <w:highlight w:val="none"/>
              </w:rPr>
              <w:t>解释权</w:t>
            </w:r>
          </w:p>
        </w:tc>
        <w:tc>
          <w:tcPr>
            <w:tcW w:w="7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napToGrid w:val="0"/>
              <w:spacing w:line="360" w:lineRule="exact"/>
              <w:textAlignment w:val="auto"/>
              <w:rPr>
                <w:rFonts w:hint="eastAsia" w:ascii="宋体" w:hAnsi="宋体" w:eastAsia="宋体" w:cs="宋体"/>
                <w:kern w:val="0"/>
                <w:sz w:val="22"/>
                <w:szCs w:val="22"/>
                <w:highlight w:val="none"/>
              </w:rPr>
            </w:pPr>
            <w:r>
              <w:rPr>
                <w:rFonts w:hint="eastAsia" w:ascii="宋体" w:hAnsi="宋体" w:eastAsia="宋体" w:cs="宋体"/>
                <w:sz w:val="22"/>
                <w:szCs w:val="22"/>
                <w:highlight w:val="none"/>
              </w:rPr>
              <w:t>构成本采购文件的各个组成文件应互为解释，互为说明；如有不明确或不一致，构成合同文件组成内容的，以合同文件约定内容为准，且以专用合同条款约定的合同文件优先顺序解释；仅适用于采购报价阶段的约定，按采购公告、供应商须知、评审办法、单一来源响应文件格式的先后顺序解释；同一文件中就同一事项的约定不一致的，以逻辑顺序在后者为准；同一文件不同版本之间有不一致的，以形成时间在后者为准。按本款前述约定仍不能形成结论的，由采购人负责解释。</w:t>
            </w:r>
          </w:p>
        </w:tc>
      </w:tr>
    </w:tbl>
    <w:p>
      <w:pPr>
        <w:rPr>
          <w:rFonts w:hint="eastAsia" w:ascii="宋体" w:hAnsi="宋体" w:eastAsia="宋体" w:cs="宋体"/>
          <w:color w:val="000000" w:themeColor="text1"/>
          <w:highlight w:val="none"/>
          <w14:textFill>
            <w14:solidFill>
              <w14:schemeClr w14:val="tx1"/>
            </w14:solidFill>
          </w14:textFill>
        </w:rPr>
      </w:pPr>
    </w:p>
    <w:p>
      <w:pPr>
        <w:spacing w:before="100" w:beforeAutospacing="1" w:after="100" w:afterAutospacing="1" w:line="440" w:lineRule="exact"/>
        <w:jc w:val="center"/>
        <w:outlineLvl w:val="0"/>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br w:type="page"/>
      </w:r>
    </w:p>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Pr>
        <w:keepNext w:val="0"/>
        <w:keepLines w:val="0"/>
        <w:pageBreakBefore w:val="0"/>
        <w:widowControl w:val="0"/>
        <w:kinsoku/>
        <w:wordWrap/>
        <w:overflowPunct/>
        <w:topLinePunct w:val="0"/>
        <w:autoSpaceDE/>
        <w:autoSpaceDN/>
        <w:bidi w:val="0"/>
        <w:adjustRightInd/>
        <w:snapToGrid/>
        <w:spacing w:before="200" w:beforeAutospacing="0" w:after="200" w:afterAutospacing="0" w:line="240" w:lineRule="auto"/>
        <w:jc w:val="center"/>
        <w:textAlignment w:val="auto"/>
        <w:outlineLvl w:val="0"/>
        <w:rPr>
          <w:rFonts w:hint="eastAsia" w:ascii="宋体" w:hAnsi="宋体" w:eastAsia="宋体" w:cs="宋体"/>
          <w:bCs/>
          <w:color w:val="000000" w:themeColor="text1"/>
          <w:sz w:val="24"/>
          <w:szCs w:val="24"/>
          <w:highlight w:val="none"/>
          <w14:textFill>
            <w14:solidFill>
              <w14:schemeClr w14:val="tx1"/>
            </w14:solidFill>
          </w14:textFill>
        </w:rPr>
      </w:pPr>
      <w:bookmarkStart w:id="50" w:name="_Toc49175234"/>
      <w:bookmarkStart w:id="51" w:name="_Toc42868119"/>
      <w:r>
        <w:rPr>
          <w:rFonts w:hint="eastAsia" w:ascii="宋体" w:hAnsi="宋体" w:eastAsia="宋体" w:cs="宋体"/>
          <w:bCs/>
          <w:color w:val="000000" w:themeColor="text1"/>
          <w:sz w:val="24"/>
          <w:szCs w:val="24"/>
          <w:highlight w:val="none"/>
          <w14:textFill>
            <w14:solidFill>
              <w14:schemeClr w14:val="tx1"/>
            </w14:solidFill>
          </w14:textFill>
        </w:rPr>
        <w:t>一、说明</w:t>
      </w:r>
      <w:bookmarkEnd w:id="50"/>
      <w:bookmarkEnd w:id="51"/>
    </w:p>
    <w:p>
      <w:pPr>
        <w:keepNext w:val="0"/>
        <w:keepLines w:val="0"/>
        <w:pageBreakBefore w:val="0"/>
        <w:widowControl w:val="0"/>
        <w:numPr>
          <w:ilvl w:val="0"/>
          <w:numId w:val="0"/>
        </w:numPr>
        <w:tabs>
          <w:tab w:val="left" w:pos="540"/>
          <w:tab w:val="left" w:pos="900"/>
        </w:tabs>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本次采购是根据《温州市市属国有企业采购管理办法（试行）》等有关法律法规组织和实施。</w:t>
      </w:r>
    </w:p>
    <w:p>
      <w:pPr>
        <w:keepNext w:val="0"/>
        <w:keepLines w:val="0"/>
        <w:pageBreakBefore w:val="0"/>
        <w:widowControl w:val="0"/>
        <w:numPr>
          <w:ilvl w:val="0"/>
          <w:numId w:val="0"/>
        </w:numPr>
        <w:tabs>
          <w:tab w:val="left" w:pos="540"/>
          <w:tab w:val="left" w:pos="900"/>
        </w:tabs>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2.</w:t>
      </w:r>
      <w:r>
        <w:rPr>
          <w:rFonts w:hint="eastAsia" w:ascii="宋体" w:hAnsi="宋体" w:eastAsia="宋体" w:cs="宋体"/>
          <w:color w:val="000000" w:themeColor="text1"/>
          <w:sz w:val="22"/>
          <w:szCs w:val="22"/>
          <w:highlight w:val="none"/>
          <w14:textFill>
            <w14:solidFill>
              <w14:schemeClr w14:val="tx1"/>
            </w14:solidFill>
          </w14:textFill>
        </w:rPr>
        <w:t>供应商代表</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指全权代表供应商参加报价活动并签署单一来源响应文件的人。如果供应商代表不是法定代表人，须持有《法定代表人授权书》。</w:t>
      </w:r>
    </w:p>
    <w:p>
      <w:pPr>
        <w:keepNext w:val="0"/>
        <w:keepLines w:val="0"/>
        <w:pageBreakBefore w:val="0"/>
        <w:widowControl w:val="0"/>
        <w:numPr>
          <w:ilvl w:val="0"/>
          <w:numId w:val="0"/>
        </w:numPr>
        <w:tabs>
          <w:tab w:val="left" w:pos="540"/>
          <w:tab w:val="left" w:pos="900"/>
        </w:tabs>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3.</w:t>
      </w:r>
      <w:r>
        <w:rPr>
          <w:rFonts w:hint="eastAsia" w:ascii="宋体" w:hAnsi="宋体" w:eastAsia="宋体" w:cs="宋体"/>
          <w:color w:val="000000" w:themeColor="text1"/>
          <w:sz w:val="22"/>
          <w:szCs w:val="22"/>
          <w:highlight w:val="none"/>
          <w14:textFill>
            <w14:solidFill>
              <w14:schemeClr w14:val="tx1"/>
            </w14:solidFill>
          </w14:textFill>
        </w:rPr>
        <w:t>报价费用</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供应商应承担所有与准备和参加报价有关费用，不论报价的结果如何，采购人和采购代理机构均无义务和责任承担这些费用。</w:t>
      </w:r>
    </w:p>
    <w:p>
      <w:pPr>
        <w:keepNext w:val="0"/>
        <w:keepLines w:val="0"/>
        <w:pageBreakBefore w:val="0"/>
        <w:widowControl w:val="0"/>
        <w:kinsoku/>
        <w:wordWrap/>
        <w:overflowPunct/>
        <w:topLinePunct w:val="0"/>
        <w:autoSpaceDE/>
        <w:autoSpaceDN/>
        <w:bidi w:val="0"/>
        <w:adjustRightInd/>
        <w:snapToGrid/>
        <w:spacing w:before="200" w:beforeAutospacing="0" w:after="200" w:afterAutospacing="0" w:line="240" w:lineRule="auto"/>
        <w:jc w:val="center"/>
        <w:textAlignment w:val="auto"/>
        <w:outlineLvl w:val="0"/>
        <w:rPr>
          <w:rFonts w:hint="eastAsia" w:ascii="宋体" w:hAnsi="宋体" w:eastAsia="宋体" w:cs="宋体"/>
          <w:bCs/>
          <w:color w:val="000000" w:themeColor="text1"/>
          <w:sz w:val="24"/>
          <w:szCs w:val="24"/>
          <w:highlight w:val="none"/>
          <w14:textFill>
            <w14:solidFill>
              <w14:schemeClr w14:val="tx1"/>
            </w14:solidFill>
          </w14:textFill>
        </w:rPr>
      </w:pPr>
      <w:bookmarkStart w:id="52" w:name="_Toc221374624"/>
      <w:bookmarkStart w:id="53" w:name="_Toc262105501"/>
      <w:bookmarkStart w:id="54" w:name="_Toc246261263"/>
      <w:bookmarkStart w:id="55" w:name="_Toc239145352"/>
      <w:bookmarkStart w:id="56" w:name="_Toc222114877"/>
      <w:bookmarkStart w:id="57" w:name="_Toc262049416"/>
      <w:bookmarkStart w:id="58" w:name="_Toc245722279"/>
      <w:bookmarkStart w:id="59" w:name="_Toc221423617"/>
      <w:bookmarkStart w:id="60" w:name="_Toc223715996"/>
      <w:bookmarkStart w:id="61" w:name="_Toc42868120"/>
      <w:bookmarkStart w:id="62" w:name="_Toc49175235"/>
      <w:bookmarkStart w:id="63" w:name="_Toc245191312"/>
      <w:bookmarkStart w:id="64" w:name="_Toc241404200"/>
      <w:bookmarkStart w:id="65" w:name="_Toc249758862"/>
      <w:bookmarkStart w:id="66" w:name="_Toc249758710"/>
      <w:bookmarkStart w:id="67" w:name="_Toc221356884"/>
      <w:bookmarkStart w:id="68" w:name="_Toc221356949"/>
      <w:r>
        <w:rPr>
          <w:rFonts w:hint="eastAsia" w:ascii="宋体" w:hAnsi="宋体" w:eastAsia="宋体" w:cs="宋体"/>
          <w:bCs/>
          <w:color w:val="000000" w:themeColor="text1"/>
          <w:sz w:val="24"/>
          <w:szCs w:val="24"/>
          <w:highlight w:val="none"/>
          <w14:textFill>
            <w14:solidFill>
              <w14:schemeClr w14:val="tx1"/>
            </w14:solidFill>
          </w14:textFill>
        </w:rPr>
        <w:t>二、 单一来源采购文件</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单一来源采购文件由单一来源采购文件目录所列内容及相关资料组成。</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2.</w:t>
      </w:r>
      <w:r>
        <w:rPr>
          <w:rFonts w:hint="eastAsia" w:ascii="宋体" w:hAnsi="宋体" w:eastAsia="宋体" w:cs="宋体"/>
          <w:color w:val="000000" w:themeColor="text1"/>
          <w:sz w:val="22"/>
          <w:szCs w:val="22"/>
          <w:highlight w:val="none"/>
          <w14:textFill>
            <w14:solidFill>
              <w14:schemeClr w14:val="tx1"/>
            </w14:solidFill>
          </w14:textFill>
        </w:rPr>
        <w:t>单一来源采购文件的澄清</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供应商对单一来源采购文件如有疑点或未尽事宜要求澄清，或认为有必要进行说明或交流，供应商可以以书面形式（包括信函、传真、下同）向采购人提出质疑，但质疑不得迟于单一来源响应文件提交截止时间三日前使采购人收到，采购人将用书面形式予以答复。如有必要，可将不说明问题来源的答复发给供应商或召开答疑会。如果标书答疑期内未收到有关疑问，视为供应商完全同意单一来源采购文件所有条款，且对于单一来源采购文件相关表述以及未尽事宜如有争议，以采购人解释为准。</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3.</w:t>
      </w:r>
      <w:r>
        <w:rPr>
          <w:rFonts w:hint="eastAsia" w:ascii="宋体" w:hAnsi="宋体" w:eastAsia="宋体" w:cs="宋体"/>
          <w:color w:val="000000" w:themeColor="text1"/>
          <w:sz w:val="22"/>
          <w:szCs w:val="22"/>
          <w:highlight w:val="none"/>
          <w14:textFill>
            <w14:solidFill>
              <w14:schemeClr w14:val="tx1"/>
            </w14:solidFill>
          </w14:textFill>
        </w:rPr>
        <w:t>单一来源采购文件的修改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 xml:space="preserve">3.1 </w:t>
      </w:r>
      <w:r>
        <w:rPr>
          <w:rFonts w:hint="eastAsia" w:ascii="宋体" w:hAnsi="宋体" w:eastAsia="宋体" w:cs="宋体"/>
          <w:color w:val="000000" w:themeColor="text1"/>
          <w:sz w:val="22"/>
          <w:szCs w:val="22"/>
          <w:highlight w:val="none"/>
          <w14:textFill>
            <w14:solidFill>
              <w14:schemeClr w14:val="tx1"/>
            </w14:solidFill>
          </w14:textFill>
        </w:rPr>
        <w:t>在报价截止期前，采购人无论是出于何种原因，均可对单一来源采购文件用补充文件的方式进行修改，并在</w:t>
      </w:r>
      <w:r>
        <w:rPr>
          <w:rFonts w:hint="eastAsia" w:ascii="宋体" w:hAnsi="宋体" w:eastAsia="宋体" w:cs="宋体"/>
          <w:sz w:val="22"/>
          <w:szCs w:val="22"/>
          <w:highlight w:val="none"/>
        </w:rPr>
        <w:t>浙江政府采购网、温州国企采购平台、</w:t>
      </w:r>
      <w:r>
        <w:rPr>
          <w:rFonts w:hint="eastAsia" w:ascii="宋体" w:hAnsi="宋体" w:eastAsia="宋体" w:cs="宋体"/>
          <w:color w:val="000000" w:themeColor="text1"/>
          <w:sz w:val="22"/>
          <w:szCs w:val="22"/>
          <w:highlight w:val="none"/>
          <w:lang w:eastAsia="zh-CN"/>
          <w14:textFill>
            <w14:solidFill>
              <w14:schemeClr w14:val="tx1"/>
            </w14:solidFill>
          </w14:textFill>
        </w:rPr>
        <w:t>温州市现代服务业发展集团有限公司网、浙江东方职业技术学院网</w:t>
      </w:r>
      <w:r>
        <w:rPr>
          <w:rFonts w:hint="eastAsia" w:ascii="宋体" w:hAnsi="宋体" w:eastAsia="宋体" w:cs="宋体"/>
          <w:color w:val="000000" w:themeColor="text1"/>
          <w:sz w:val="22"/>
          <w:szCs w:val="22"/>
          <w:highlight w:val="none"/>
          <w14:textFill>
            <w14:solidFill>
              <w14:schemeClr w14:val="tx1"/>
            </w14:solidFill>
          </w14:textFill>
        </w:rPr>
        <w:t>站上发布更正公告。该澄清和修改的内容为单一来源采购文件的组成部分。采购人可以视采购具体情况在单一来源采购文件要求提交截止时一天前，作出延长单一来源响应文件提交截止时间和开标时间的决定，并将变更时间书面通知所有单一来源采购文件收受人，并在</w:t>
      </w:r>
      <w:r>
        <w:rPr>
          <w:rFonts w:hint="eastAsia" w:ascii="宋体" w:hAnsi="宋体" w:eastAsia="宋体" w:cs="宋体"/>
          <w:sz w:val="22"/>
          <w:szCs w:val="22"/>
          <w:highlight w:val="none"/>
        </w:rPr>
        <w:t>浙江政府采购网、温州国企采购平台、</w:t>
      </w:r>
      <w:r>
        <w:rPr>
          <w:rFonts w:hint="eastAsia" w:ascii="宋体" w:hAnsi="宋体" w:eastAsia="宋体" w:cs="宋体"/>
          <w:color w:val="000000" w:themeColor="text1"/>
          <w:sz w:val="22"/>
          <w:szCs w:val="22"/>
          <w:highlight w:val="none"/>
          <w:lang w:eastAsia="zh-CN"/>
          <w14:textFill>
            <w14:solidFill>
              <w14:schemeClr w14:val="tx1"/>
            </w14:solidFill>
          </w14:textFill>
        </w:rPr>
        <w:t>温州市现代服务业发展集团有限公司网、浙江东方职业技术学院网</w:t>
      </w:r>
      <w:r>
        <w:rPr>
          <w:rFonts w:hint="eastAsia" w:ascii="宋体" w:hAnsi="宋体" w:eastAsia="宋体" w:cs="宋体"/>
          <w:color w:val="000000" w:themeColor="text1"/>
          <w:sz w:val="22"/>
          <w:szCs w:val="22"/>
          <w:highlight w:val="none"/>
          <w14:textFill>
            <w14:solidFill>
              <w14:schemeClr w14:val="tx1"/>
            </w14:solidFill>
          </w14:textFill>
        </w:rPr>
        <w:t>站发布变更公告。</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 xml:space="preserve">3.2 </w:t>
      </w:r>
      <w:r>
        <w:rPr>
          <w:rFonts w:hint="eastAsia" w:ascii="宋体" w:hAnsi="宋体" w:eastAsia="宋体" w:cs="宋体"/>
          <w:color w:val="000000" w:themeColor="text1"/>
          <w:sz w:val="22"/>
          <w:szCs w:val="22"/>
          <w:highlight w:val="none"/>
          <w14:textFill>
            <w14:solidFill>
              <w14:schemeClr w14:val="tx1"/>
            </w14:solidFill>
          </w14:textFill>
        </w:rPr>
        <w:t>供应商收到澄清和修改的补充文件，应立即以书面形式回复确认已收到补充文件。</w:t>
      </w:r>
    </w:p>
    <w:p>
      <w:pPr>
        <w:keepNext w:val="0"/>
        <w:keepLines w:val="0"/>
        <w:pageBreakBefore w:val="0"/>
        <w:widowControl w:val="0"/>
        <w:kinsoku/>
        <w:wordWrap/>
        <w:overflowPunct/>
        <w:topLinePunct w:val="0"/>
        <w:autoSpaceDE/>
        <w:autoSpaceDN/>
        <w:bidi w:val="0"/>
        <w:adjustRightInd/>
        <w:snapToGrid/>
        <w:spacing w:before="200" w:beforeAutospacing="0" w:after="200" w:afterAutospacing="0" w:line="240" w:lineRule="auto"/>
        <w:jc w:val="center"/>
        <w:textAlignment w:val="auto"/>
        <w:outlineLvl w:val="0"/>
        <w:rPr>
          <w:rFonts w:hint="eastAsia" w:ascii="宋体" w:hAnsi="宋体" w:eastAsia="宋体" w:cs="宋体"/>
          <w:bCs/>
          <w:color w:val="000000" w:themeColor="text1"/>
          <w:sz w:val="24"/>
          <w:szCs w:val="24"/>
          <w:highlight w:val="none"/>
          <w14:textFill>
            <w14:solidFill>
              <w14:schemeClr w14:val="tx1"/>
            </w14:solidFill>
          </w14:textFill>
        </w:rPr>
      </w:pPr>
      <w:bookmarkStart w:id="69" w:name="_Toc239145353"/>
      <w:bookmarkStart w:id="70" w:name="_Toc223715997"/>
      <w:bookmarkStart w:id="71" w:name="_Toc249758711"/>
      <w:bookmarkStart w:id="72" w:name="_Toc246261264"/>
      <w:bookmarkStart w:id="73" w:name="_Toc222114878"/>
      <w:bookmarkStart w:id="74" w:name="_Toc221374625"/>
      <w:bookmarkStart w:id="75" w:name="_Toc221356950"/>
      <w:bookmarkStart w:id="76" w:name="_Toc245722280"/>
      <w:bookmarkStart w:id="77" w:name="_Toc262049417"/>
      <w:bookmarkStart w:id="78" w:name="_Toc241404201"/>
      <w:bookmarkStart w:id="79" w:name="_Toc245191313"/>
      <w:bookmarkStart w:id="80" w:name="_Toc249758863"/>
      <w:bookmarkStart w:id="81" w:name="_Toc221423618"/>
      <w:bookmarkStart w:id="82" w:name="_Toc262105502"/>
      <w:bookmarkStart w:id="83" w:name="_Toc221356885"/>
      <w:bookmarkStart w:id="84" w:name="_Toc42868121"/>
      <w:bookmarkStart w:id="85" w:name="_Toc49175236"/>
      <w:r>
        <w:rPr>
          <w:rFonts w:hint="eastAsia" w:ascii="宋体" w:hAnsi="宋体" w:eastAsia="宋体" w:cs="宋体"/>
          <w:bCs/>
          <w:color w:val="000000" w:themeColor="text1"/>
          <w:sz w:val="24"/>
          <w:szCs w:val="24"/>
          <w:highlight w:val="none"/>
          <w14:textFill>
            <w14:solidFill>
              <w14:schemeClr w14:val="tx1"/>
            </w14:solidFill>
          </w14:textFill>
        </w:rPr>
        <w:t>三、单一来源响应文件的编制</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供应商应认真阅读单一来源采购文件中所有事项格式、条款和技术规范等。供应商没有按照单一来源采购文件要求提交全部资料，或者没有对单一来源采购文件各个方面做出实质性响应，导致报价被拒绝的风险由供应商自行承担。</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2.</w:t>
      </w:r>
      <w:r>
        <w:rPr>
          <w:rFonts w:hint="eastAsia" w:ascii="宋体" w:hAnsi="宋体" w:eastAsia="宋体" w:cs="宋体"/>
          <w:color w:val="000000" w:themeColor="text1"/>
          <w:sz w:val="22"/>
          <w:szCs w:val="22"/>
          <w:highlight w:val="none"/>
          <w14:textFill>
            <w14:solidFill>
              <w14:schemeClr w14:val="tx1"/>
            </w14:solidFill>
          </w14:textFill>
        </w:rPr>
        <w:t>供应商应保证所提供文件资料的真实性，所有文件资料必须是针对本次报价的。如发现供应商提供了虚假文件资料，其报价将被拒绝，并自行承担相应的法律责任。</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3.</w:t>
      </w:r>
      <w:r>
        <w:rPr>
          <w:rFonts w:hint="eastAsia" w:ascii="宋体" w:hAnsi="宋体" w:eastAsia="宋体" w:cs="宋体"/>
          <w:bCs/>
          <w:color w:val="000000" w:themeColor="text1"/>
          <w:sz w:val="22"/>
          <w:szCs w:val="22"/>
          <w:highlight w:val="none"/>
          <w14:textFill>
            <w14:solidFill>
              <w14:schemeClr w14:val="tx1"/>
            </w14:solidFill>
          </w14:textFill>
        </w:rPr>
        <w:t>单一来源响应文件的构成：</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3.1</w:t>
      </w:r>
      <w:r>
        <w:rPr>
          <w:rFonts w:hint="eastAsia" w:ascii="宋体" w:hAnsi="宋体" w:eastAsia="宋体" w:cs="宋体"/>
          <w:color w:val="000000" w:themeColor="text1"/>
          <w:sz w:val="22"/>
          <w:szCs w:val="22"/>
          <w:highlight w:val="none"/>
          <w14:textFill>
            <w14:solidFill>
              <w14:schemeClr w14:val="tx1"/>
            </w14:solidFill>
          </w14:textFill>
        </w:rPr>
        <w:t>单一来源响应文件由下列部分构成：</w:t>
      </w:r>
    </w:p>
    <w:p>
      <w:pPr>
        <w:keepNext w:val="0"/>
        <w:keepLines w:val="0"/>
        <w:pageBreakBefore w:val="0"/>
        <w:widowControl w:val="0"/>
        <w:numPr>
          <w:ilvl w:val="0"/>
          <w:numId w:val="0"/>
        </w:numPr>
        <w:tabs>
          <w:tab w:val="left" w:pos="5355"/>
        </w:tabs>
        <w:kinsoku/>
        <w:wordWrap/>
        <w:overflowPunct/>
        <w:topLinePunct w:val="0"/>
        <w:autoSpaceDE/>
        <w:autoSpaceDN/>
        <w:bidi w:val="0"/>
        <w:adjustRightInd/>
        <w:snapToGrid/>
        <w:spacing w:beforeAutospacing="0" w:afterAutospacing="0" w:line="360" w:lineRule="auto"/>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报价函；                                             (附件一)</w:t>
      </w:r>
    </w:p>
    <w:p>
      <w:pPr>
        <w:keepNext w:val="0"/>
        <w:keepLines w:val="0"/>
        <w:pageBreakBefore w:val="0"/>
        <w:widowControl w:val="0"/>
        <w:numPr>
          <w:ilvl w:val="0"/>
          <w:numId w:val="0"/>
        </w:numPr>
        <w:tabs>
          <w:tab w:val="left" w:pos="5355"/>
        </w:tabs>
        <w:kinsoku/>
        <w:wordWrap/>
        <w:overflowPunct/>
        <w:topLinePunct w:val="0"/>
        <w:autoSpaceDE/>
        <w:autoSpaceDN/>
        <w:bidi w:val="0"/>
        <w:adjustRightInd/>
        <w:snapToGrid/>
        <w:spacing w:beforeAutospacing="0" w:afterAutospacing="0" w:line="360" w:lineRule="auto"/>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2）</w:t>
      </w:r>
      <w:r>
        <w:rPr>
          <w:rFonts w:hint="eastAsia" w:ascii="宋体" w:hAnsi="宋体" w:eastAsia="宋体" w:cs="宋体"/>
          <w:color w:val="000000" w:themeColor="text1"/>
          <w:sz w:val="22"/>
          <w:szCs w:val="22"/>
          <w:highlight w:val="none"/>
          <w14:textFill>
            <w14:solidFill>
              <w14:schemeClr w14:val="tx1"/>
            </w14:solidFill>
          </w14:textFill>
        </w:rPr>
        <w:t xml:space="preserve">谈判报价一览表；                         </w:t>
      </w:r>
      <w:r>
        <w:rPr>
          <w:rFonts w:hint="eastAsia" w:ascii="宋体" w:hAnsi="宋体" w:eastAsia="宋体" w:cs="宋体"/>
          <w:color w:val="000000" w:themeColor="text1"/>
          <w:sz w:val="22"/>
          <w:szCs w:val="22"/>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 xml:space="preserve">       （附件二）</w:t>
      </w:r>
    </w:p>
    <w:p>
      <w:pPr>
        <w:keepNext w:val="0"/>
        <w:keepLines w:val="0"/>
        <w:pageBreakBefore w:val="0"/>
        <w:widowControl w:val="0"/>
        <w:numPr>
          <w:ilvl w:val="0"/>
          <w:numId w:val="0"/>
        </w:numPr>
        <w:tabs>
          <w:tab w:val="left" w:pos="540"/>
          <w:tab w:val="left" w:pos="5355"/>
        </w:tabs>
        <w:kinsoku/>
        <w:wordWrap/>
        <w:overflowPunct/>
        <w:topLinePunct w:val="0"/>
        <w:autoSpaceDE/>
        <w:autoSpaceDN/>
        <w:bidi w:val="0"/>
        <w:adjustRightInd/>
        <w:snapToGrid/>
        <w:spacing w:beforeAutospacing="0" w:afterAutospacing="0" w:line="360" w:lineRule="auto"/>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3）</w:t>
      </w:r>
      <w:r>
        <w:rPr>
          <w:rFonts w:hint="eastAsia" w:ascii="宋体" w:hAnsi="宋体" w:eastAsia="宋体" w:cs="宋体"/>
          <w:color w:val="000000" w:themeColor="text1"/>
          <w:sz w:val="22"/>
          <w:szCs w:val="22"/>
          <w:highlight w:val="none"/>
          <w14:textFill>
            <w14:solidFill>
              <w14:schemeClr w14:val="tx1"/>
            </w14:solidFill>
          </w14:textFill>
        </w:rPr>
        <w:t>分项报价表；                                        （附件三）</w:t>
      </w:r>
    </w:p>
    <w:p>
      <w:pPr>
        <w:keepNext w:val="0"/>
        <w:keepLines w:val="0"/>
        <w:pageBreakBefore w:val="0"/>
        <w:widowControl w:val="0"/>
        <w:numPr>
          <w:ilvl w:val="0"/>
          <w:numId w:val="0"/>
        </w:numPr>
        <w:tabs>
          <w:tab w:val="left" w:pos="5355"/>
        </w:tabs>
        <w:kinsoku/>
        <w:wordWrap/>
        <w:overflowPunct/>
        <w:topLinePunct w:val="0"/>
        <w:autoSpaceDE/>
        <w:autoSpaceDN/>
        <w:bidi w:val="0"/>
        <w:adjustRightInd/>
        <w:snapToGrid/>
        <w:spacing w:beforeAutospacing="0" w:afterAutospacing="0" w:line="360" w:lineRule="auto"/>
        <w:ind w:firstLine="442"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lang w:val="en-US" w:eastAsia="zh-CN"/>
          <w14:textFill>
            <w14:solidFill>
              <w14:schemeClr w14:val="tx1"/>
            </w14:solidFill>
          </w14:textFill>
        </w:rPr>
        <w:t>4）</w:t>
      </w:r>
      <w:r>
        <w:rPr>
          <w:rFonts w:hint="eastAsia" w:ascii="宋体" w:hAnsi="宋体" w:eastAsia="宋体" w:cs="宋体"/>
          <w:b/>
          <w:color w:val="000000" w:themeColor="text1"/>
          <w:sz w:val="22"/>
          <w:szCs w:val="22"/>
          <w:highlight w:val="none"/>
          <w14:textFill>
            <w14:solidFill>
              <w14:schemeClr w14:val="tx1"/>
            </w14:solidFill>
          </w14:textFill>
        </w:rPr>
        <w:t>资格证明文件</w:t>
      </w:r>
      <w:r>
        <w:rPr>
          <w:rFonts w:hint="eastAsia" w:ascii="宋体" w:hAnsi="宋体" w:eastAsia="宋体" w:cs="宋体"/>
          <w:color w:val="000000" w:themeColor="text1"/>
          <w:sz w:val="22"/>
          <w:szCs w:val="22"/>
          <w:highlight w:val="none"/>
          <w14:textFill>
            <w14:solidFill>
              <w14:schemeClr w14:val="tx1"/>
            </w14:solidFill>
          </w14:textFill>
        </w:rPr>
        <w:t>：                                       (附件五)</w:t>
      </w:r>
    </w:p>
    <w:p>
      <w:pPr>
        <w:keepNext w:val="0"/>
        <w:keepLines w:val="0"/>
        <w:pageBreakBefore w:val="0"/>
        <w:widowControl w:val="0"/>
        <w:numPr>
          <w:ilvl w:val="0"/>
          <w:numId w:val="0"/>
        </w:numPr>
        <w:tabs>
          <w:tab w:val="left" w:pos="1080"/>
          <w:tab w:val="left" w:pos="5355"/>
        </w:tabs>
        <w:kinsoku/>
        <w:wordWrap/>
        <w:overflowPunct/>
        <w:topLinePunct w:val="0"/>
        <w:autoSpaceDE/>
        <w:autoSpaceDN/>
        <w:bidi w:val="0"/>
        <w:adjustRightInd/>
        <w:snapToGrid/>
        <w:spacing w:beforeAutospacing="0" w:afterAutospacing="0" w:line="360" w:lineRule="auto"/>
        <w:ind w:firstLine="442" w:firstLineChars="200"/>
        <w:textAlignment w:val="auto"/>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a）</w:t>
      </w:r>
      <w:r>
        <w:rPr>
          <w:rFonts w:hint="eastAsia" w:ascii="宋体" w:hAnsi="宋体" w:eastAsia="宋体" w:cs="宋体"/>
          <w:b/>
          <w:bCs/>
          <w:color w:val="000000" w:themeColor="text1"/>
          <w:sz w:val="22"/>
          <w:szCs w:val="22"/>
          <w:highlight w:val="none"/>
          <w14:textFill>
            <w14:solidFill>
              <w14:schemeClr w14:val="tx1"/>
            </w14:solidFill>
          </w14:textFill>
        </w:rPr>
        <w:t>法定代表人声明书或法定代表人授权书；</w:t>
      </w:r>
    </w:p>
    <w:p>
      <w:pPr>
        <w:keepNext w:val="0"/>
        <w:keepLines w:val="0"/>
        <w:pageBreakBefore w:val="0"/>
        <w:widowControl w:val="0"/>
        <w:numPr>
          <w:ilvl w:val="0"/>
          <w:numId w:val="0"/>
        </w:numPr>
        <w:tabs>
          <w:tab w:val="left" w:pos="1080"/>
          <w:tab w:val="left" w:pos="5355"/>
        </w:tabs>
        <w:kinsoku/>
        <w:wordWrap/>
        <w:overflowPunct/>
        <w:topLinePunct w:val="0"/>
        <w:autoSpaceDE/>
        <w:autoSpaceDN/>
        <w:bidi w:val="0"/>
        <w:adjustRightInd/>
        <w:snapToGrid/>
        <w:spacing w:beforeAutospacing="0" w:afterAutospacing="0" w:line="360" w:lineRule="auto"/>
        <w:ind w:firstLine="442" w:firstLineChars="200"/>
        <w:textAlignment w:val="auto"/>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b）</w:t>
      </w:r>
      <w:r>
        <w:rPr>
          <w:rFonts w:hint="eastAsia" w:ascii="宋体" w:hAnsi="宋体" w:eastAsia="宋体" w:cs="宋体"/>
          <w:b/>
          <w:bCs/>
          <w:color w:val="000000" w:themeColor="text1"/>
          <w:sz w:val="22"/>
          <w:szCs w:val="22"/>
          <w:highlight w:val="none"/>
          <w14:textFill>
            <w14:solidFill>
              <w14:schemeClr w14:val="tx1"/>
            </w14:solidFill>
          </w14:textFill>
        </w:rPr>
        <w:t>供应商有效营业执照、税务登记证（如为多证合一仅需提供营业执照）；</w:t>
      </w:r>
    </w:p>
    <w:p>
      <w:pPr>
        <w:keepNext w:val="0"/>
        <w:keepLines w:val="0"/>
        <w:pageBreakBefore w:val="0"/>
        <w:widowControl w:val="0"/>
        <w:numPr>
          <w:ilvl w:val="0"/>
          <w:numId w:val="0"/>
        </w:numPr>
        <w:tabs>
          <w:tab w:val="left" w:pos="1080"/>
          <w:tab w:val="left" w:pos="5355"/>
        </w:tabs>
        <w:kinsoku/>
        <w:wordWrap/>
        <w:overflowPunct/>
        <w:topLinePunct w:val="0"/>
        <w:autoSpaceDE/>
        <w:autoSpaceDN/>
        <w:bidi w:val="0"/>
        <w:adjustRightInd/>
        <w:snapToGrid/>
        <w:spacing w:beforeAutospacing="0" w:afterAutospacing="0" w:line="360" w:lineRule="auto"/>
        <w:ind w:firstLine="442" w:firstLineChars="200"/>
        <w:textAlignment w:val="auto"/>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c）</w:t>
      </w:r>
      <w:r>
        <w:rPr>
          <w:rFonts w:hint="eastAsia" w:ascii="宋体" w:hAnsi="宋体" w:eastAsia="宋体" w:cs="宋体"/>
          <w:b/>
          <w:bCs/>
          <w:color w:val="000000" w:themeColor="text1"/>
          <w:sz w:val="22"/>
          <w:szCs w:val="22"/>
          <w:highlight w:val="none"/>
          <w14:textFill>
            <w14:solidFill>
              <w14:schemeClr w14:val="tx1"/>
            </w14:solidFill>
          </w14:textFill>
        </w:rPr>
        <w:t>具有良好的商业信誉和健全的财务会计制度的承诺函</w:t>
      </w:r>
    </w:p>
    <w:p>
      <w:pPr>
        <w:keepNext w:val="0"/>
        <w:keepLines w:val="0"/>
        <w:pageBreakBefore w:val="0"/>
        <w:widowControl w:val="0"/>
        <w:numPr>
          <w:ilvl w:val="0"/>
          <w:numId w:val="0"/>
        </w:numPr>
        <w:tabs>
          <w:tab w:val="left" w:pos="1080"/>
          <w:tab w:val="left" w:pos="5355"/>
        </w:tabs>
        <w:kinsoku/>
        <w:wordWrap/>
        <w:overflowPunct/>
        <w:topLinePunct w:val="0"/>
        <w:autoSpaceDE/>
        <w:autoSpaceDN/>
        <w:bidi w:val="0"/>
        <w:adjustRightInd/>
        <w:snapToGrid/>
        <w:spacing w:beforeAutospacing="0" w:afterAutospacing="0" w:line="360" w:lineRule="auto"/>
        <w:ind w:firstLine="442" w:firstLineChars="200"/>
        <w:textAlignment w:val="auto"/>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d）</w:t>
      </w:r>
      <w:r>
        <w:rPr>
          <w:rFonts w:hint="eastAsia" w:ascii="宋体" w:hAnsi="宋体" w:eastAsia="宋体" w:cs="宋体"/>
          <w:b/>
          <w:bCs/>
          <w:color w:val="000000" w:themeColor="text1"/>
          <w:sz w:val="22"/>
          <w:szCs w:val="22"/>
          <w:highlight w:val="none"/>
          <w14:textFill>
            <w14:solidFill>
              <w14:schemeClr w14:val="tx1"/>
            </w14:solidFill>
          </w14:textFill>
        </w:rPr>
        <w:t>具有履行合同所必需的设备和专业技术、售后保障等能力的承诺函</w:t>
      </w:r>
    </w:p>
    <w:p>
      <w:pPr>
        <w:keepNext w:val="0"/>
        <w:keepLines w:val="0"/>
        <w:pageBreakBefore w:val="0"/>
        <w:widowControl w:val="0"/>
        <w:numPr>
          <w:ilvl w:val="0"/>
          <w:numId w:val="0"/>
        </w:numPr>
        <w:tabs>
          <w:tab w:val="left" w:pos="1080"/>
          <w:tab w:val="left" w:pos="5355"/>
        </w:tabs>
        <w:kinsoku/>
        <w:wordWrap/>
        <w:overflowPunct/>
        <w:topLinePunct w:val="0"/>
        <w:autoSpaceDE/>
        <w:autoSpaceDN/>
        <w:bidi w:val="0"/>
        <w:adjustRightInd/>
        <w:snapToGrid/>
        <w:spacing w:beforeAutospacing="0" w:afterAutospacing="0" w:line="360" w:lineRule="auto"/>
        <w:ind w:firstLine="442" w:firstLineChars="200"/>
        <w:textAlignment w:val="auto"/>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e）</w:t>
      </w:r>
      <w:r>
        <w:rPr>
          <w:rFonts w:hint="eastAsia" w:ascii="宋体" w:hAnsi="宋体" w:eastAsia="宋体" w:cs="宋体"/>
          <w:b/>
          <w:bCs/>
          <w:color w:val="000000" w:themeColor="text1"/>
          <w:sz w:val="22"/>
          <w:szCs w:val="22"/>
          <w:highlight w:val="none"/>
          <w14:textFill>
            <w14:solidFill>
              <w14:schemeClr w14:val="tx1"/>
            </w14:solidFill>
          </w14:textFill>
        </w:rPr>
        <w:t>有依法缴纳税收和社会保障资金的良好记录的才承诺函</w:t>
      </w:r>
    </w:p>
    <w:p>
      <w:pPr>
        <w:keepNext w:val="0"/>
        <w:keepLines w:val="0"/>
        <w:pageBreakBefore w:val="0"/>
        <w:widowControl w:val="0"/>
        <w:numPr>
          <w:ilvl w:val="0"/>
          <w:numId w:val="0"/>
        </w:numPr>
        <w:tabs>
          <w:tab w:val="left" w:pos="1080"/>
          <w:tab w:val="left" w:pos="5355"/>
        </w:tabs>
        <w:kinsoku/>
        <w:wordWrap/>
        <w:overflowPunct/>
        <w:topLinePunct w:val="0"/>
        <w:autoSpaceDE/>
        <w:autoSpaceDN/>
        <w:bidi w:val="0"/>
        <w:adjustRightInd/>
        <w:snapToGrid/>
        <w:spacing w:beforeAutospacing="0" w:afterAutospacing="0" w:line="360" w:lineRule="auto"/>
        <w:ind w:firstLine="442" w:firstLineChars="200"/>
        <w:textAlignment w:val="auto"/>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f）</w:t>
      </w:r>
      <w:r>
        <w:rPr>
          <w:rFonts w:hint="eastAsia" w:ascii="宋体" w:hAnsi="宋体" w:eastAsia="宋体" w:cs="宋体"/>
          <w:b/>
          <w:bCs/>
          <w:color w:val="000000" w:themeColor="text1"/>
          <w:sz w:val="22"/>
          <w:szCs w:val="22"/>
          <w:highlight w:val="none"/>
          <w14:textFill>
            <w14:solidFill>
              <w14:schemeClr w14:val="tx1"/>
            </w14:solidFill>
          </w14:textFill>
        </w:rPr>
        <w:t>参加采购、招报价等活动前三年内，在经营活动中没有重大违法记录和行贿记录的承诺函</w:t>
      </w:r>
    </w:p>
    <w:p>
      <w:pPr>
        <w:keepNext w:val="0"/>
        <w:keepLines w:val="0"/>
        <w:pageBreakBefore w:val="0"/>
        <w:widowControl w:val="0"/>
        <w:numPr>
          <w:ilvl w:val="0"/>
          <w:numId w:val="0"/>
        </w:numPr>
        <w:tabs>
          <w:tab w:val="left" w:pos="5355"/>
        </w:tabs>
        <w:kinsoku/>
        <w:wordWrap/>
        <w:overflowPunct/>
        <w:topLinePunct w:val="0"/>
        <w:autoSpaceDE/>
        <w:autoSpaceDN/>
        <w:bidi w:val="0"/>
        <w:adjustRightInd/>
        <w:snapToGrid/>
        <w:spacing w:beforeAutospacing="0" w:afterAutospacing="0" w:line="360" w:lineRule="auto"/>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5）</w:t>
      </w:r>
      <w:r>
        <w:rPr>
          <w:rFonts w:hint="eastAsia" w:ascii="宋体" w:hAnsi="宋体" w:eastAsia="宋体" w:cs="宋体"/>
          <w:color w:val="000000" w:themeColor="text1"/>
          <w:sz w:val="22"/>
          <w:szCs w:val="22"/>
          <w:highlight w:val="none"/>
          <w14:textFill>
            <w14:solidFill>
              <w14:schemeClr w14:val="tx1"/>
            </w14:solidFill>
          </w14:textFill>
        </w:rPr>
        <w:t>技术规格、商务条款偏离表  ；                        （附件四）</w:t>
      </w:r>
    </w:p>
    <w:p>
      <w:pPr>
        <w:keepNext w:val="0"/>
        <w:keepLines w:val="0"/>
        <w:pageBreakBefore w:val="0"/>
        <w:widowControl w:val="0"/>
        <w:numPr>
          <w:ilvl w:val="0"/>
          <w:numId w:val="0"/>
        </w:numPr>
        <w:tabs>
          <w:tab w:val="left" w:pos="5355"/>
        </w:tabs>
        <w:kinsoku/>
        <w:wordWrap/>
        <w:overflowPunct/>
        <w:topLinePunct w:val="0"/>
        <w:autoSpaceDE/>
        <w:autoSpaceDN/>
        <w:bidi w:val="0"/>
        <w:adjustRightInd/>
        <w:snapToGrid/>
        <w:spacing w:beforeAutospacing="0" w:afterAutospacing="0" w:line="360" w:lineRule="auto"/>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6）</w:t>
      </w:r>
      <w:r>
        <w:rPr>
          <w:rFonts w:hint="eastAsia" w:ascii="宋体" w:hAnsi="宋体" w:eastAsia="宋体" w:cs="宋体"/>
          <w:color w:val="000000" w:themeColor="text1"/>
          <w:sz w:val="22"/>
          <w:szCs w:val="22"/>
          <w:highlight w:val="none"/>
          <w14:textFill>
            <w14:solidFill>
              <w14:schemeClr w14:val="tx1"/>
            </w14:solidFill>
          </w14:textFill>
        </w:rPr>
        <w:t>技术服务方案</w:t>
      </w:r>
    </w:p>
    <w:p>
      <w:pPr>
        <w:keepNext w:val="0"/>
        <w:keepLines w:val="0"/>
        <w:pageBreakBefore w:val="0"/>
        <w:widowControl w:val="0"/>
        <w:numPr>
          <w:ilvl w:val="0"/>
          <w:numId w:val="0"/>
        </w:numPr>
        <w:tabs>
          <w:tab w:val="left" w:pos="5355"/>
        </w:tabs>
        <w:kinsoku/>
        <w:wordWrap/>
        <w:overflowPunct/>
        <w:topLinePunct w:val="0"/>
        <w:autoSpaceDE/>
        <w:autoSpaceDN/>
        <w:bidi w:val="0"/>
        <w:adjustRightInd/>
        <w:snapToGrid/>
        <w:spacing w:beforeAutospacing="0" w:afterAutospacing="0" w:line="360" w:lineRule="auto"/>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7）</w:t>
      </w:r>
      <w:r>
        <w:rPr>
          <w:rFonts w:hint="eastAsia" w:ascii="宋体" w:hAnsi="宋体" w:eastAsia="宋体" w:cs="宋体"/>
          <w:color w:val="000000" w:themeColor="text1"/>
          <w:sz w:val="22"/>
          <w:szCs w:val="22"/>
          <w:highlight w:val="none"/>
          <w14:textFill>
            <w14:solidFill>
              <w14:schemeClr w14:val="tx1"/>
            </w14:solidFill>
          </w14:textFill>
        </w:rPr>
        <w:t>供应商需要说明的其他文件和说明</w:t>
      </w:r>
    </w:p>
    <w:p>
      <w:pPr>
        <w:keepNext w:val="0"/>
        <w:keepLines w:val="0"/>
        <w:pageBreakBefore w:val="0"/>
        <w:widowControl w:val="0"/>
        <w:tabs>
          <w:tab w:val="left" w:pos="5355"/>
        </w:tabs>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注：以上所需的各种证书、证件、证明、执照若系复印件，须在复印件上加盖供应商有效的公章</w:t>
      </w:r>
      <w:r>
        <w:rPr>
          <w:rFonts w:hint="eastAsia" w:ascii="宋体" w:hAnsi="宋体" w:eastAsia="宋体" w:cs="宋体"/>
          <w:color w:val="000000" w:themeColor="text1"/>
          <w:sz w:val="22"/>
          <w:szCs w:val="22"/>
          <w:highlight w:val="none"/>
          <w14:textFill>
            <w14:solidFill>
              <w14:schemeClr w14:val="tx1"/>
            </w14:solidFill>
          </w14:textFill>
        </w:rPr>
        <w:t>。</w:t>
      </w:r>
      <w:bookmarkStart w:id="86" w:name="_Toc221356886"/>
    </w:p>
    <w:bookmarkEnd w:id="86"/>
    <w:p>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3.2</w:t>
      </w:r>
      <w:r>
        <w:rPr>
          <w:rFonts w:hint="eastAsia" w:ascii="宋体" w:hAnsi="宋体" w:eastAsia="宋体" w:cs="宋体"/>
          <w:color w:val="000000" w:themeColor="text1"/>
          <w:sz w:val="22"/>
          <w:szCs w:val="22"/>
          <w:highlight w:val="none"/>
          <w14:textFill>
            <w14:solidFill>
              <w14:schemeClr w14:val="tx1"/>
            </w14:solidFill>
          </w14:textFill>
        </w:rPr>
        <w:t>单一来源响应文件格式</w:t>
      </w:r>
    </w:p>
    <w:p>
      <w:pPr>
        <w:keepNext w:val="0"/>
        <w:keepLines w:val="0"/>
        <w:pageBreakBefore w:val="0"/>
        <w:widowControl w:val="0"/>
        <w:numPr>
          <w:ilvl w:val="0"/>
          <w:numId w:val="0"/>
        </w:numPr>
        <w:tabs>
          <w:tab w:val="left" w:pos="900"/>
        </w:tabs>
        <w:kinsoku/>
        <w:wordWrap/>
        <w:overflowPunct/>
        <w:topLinePunct w:val="0"/>
        <w:autoSpaceDE/>
        <w:autoSpaceDN/>
        <w:bidi w:val="0"/>
        <w:adjustRightInd/>
        <w:snapToGrid/>
        <w:spacing w:beforeAutospacing="0" w:afterAutospacing="0" w:line="360" w:lineRule="auto"/>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供应商应根据单一来源采购文件中所提供的格式，内容按顺序填写并装订成册，不允许以活页夹形式装订单一来源响应文件。</w:t>
      </w:r>
    </w:p>
    <w:p>
      <w:pPr>
        <w:keepNext w:val="0"/>
        <w:keepLines w:val="0"/>
        <w:pageBreakBefore w:val="0"/>
        <w:widowControl w:val="0"/>
        <w:numPr>
          <w:ilvl w:val="0"/>
          <w:numId w:val="0"/>
        </w:numPr>
        <w:tabs>
          <w:tab w:val="left" w:pos="900"/>
        </w:tabs>
        <w:kinsoku/>
        <w:wordWrap/>
        <w:overflowPunct/>
        <w:topLinePunct w:val="0"/>
        <w:autoSpaceDE/>
        <w:autoSpaceDN/>
        <w:bidi w:val="0"/>
        <w:adjustRightInd/>
        <w:snapToGrid/>
        <w:spacing w:beforeAutospacing="0" w:afterAutospacing="0" w:line="360" w:lineRule="auto"/>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2）</w:t>
      </w:r>
      <w:r>
        <w:rPr>
          <w:rFonts w:hint="eastAsia" w:ascii="宋体" w:hAnsi="宋体" w:eastAsia="宋体" w:cs="宋体"/>
          <w:color w:val="000000" w:themeColor="text1"/>
          <w:sz w:val="22"/>
          <w:szCs w:val="22"/>
          <w:highlight w:val="none"/>
          <w14:textFill>
            <w14:solidFill>
              <w14:schemeClr w14:val="tx1"/>
            </w14:solidFill>
          </w14:textFill>
        </w:rPr>
        <w:t>单一来源响应文件应有目录以及页码，以便评委检索。</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4.</w:t>
      </w:r>
      <w:r>
        <w:rPr>
          <w:rFonts w:hint="eastAsia" w:ascii="宋体" w:hAnsi="宋体" w:eastAsia="宋体" w:cs="宋体"/>
          <w:bCs/>
          <w:color w:val="000000" w:themeColor="text1"/>
          <w:sz w:val="22"/>
          <w:szCs w:val="22"/>
          <w:highlight w:val="none"/>
          <w14:textFill>
            <w14:solidFill>
              <w14:schemeClr w14:val="tx1"/>
            </w14:solidFill>
          </w14:textFill>
        </w:rPr>
        <w:t>报价</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beforeAutospacing="0" w:afterAutospacing="0" w:line="360" w:lineRule="auto"/>
        <w:ind w:leftChars="0" w:firstLine="442" w:firstLineChars="200"/>
        <w:textAlignment w:val="auto"/>
        <w:rPr>
          <w:rFonts w:hint="eastAsia" w:ascii="宋体" w:hAnsi="宋体" w:eastAsia="宋体" w:cs="宋体"/>
          <w:b/>
          <w:bCs/>
          <w:color w:val="000000"/>
          <w:sz w:val="22"/>
          <w:szCs w:val="22"/>
          <w:highlight w:val="none"/>
          <w:u w:val="single"/>
        </w:rPr>
      </w:pPr>
      <w:r>
        <w:rPr>
          <w:rFonts w:hint="eastAsia" w:ascii="宋体" w:hAnsi="宋体" w:eastAsia="宋体" w:cs="宋体"/>
          <w:b/>
          <w:bCs/>
          <w:sz w:val="22"/>
          <w:szCs w:val="22"/>
          <w:highlight w:val="none"/>
          <w:lang w:val="en-US" w:eastAsia="zh-CN"/>
        </w:rPr>
        <w:t>4.1</w:t>
      </w:r>
      <w:r>
        <w:rPr>
          <w:rFonts w:hint="eastAsia" w:ascii="宋体" w:hAnsi="宋体" w:eastAsia="宋体" w:cs="宋体"/>
          <w:b/>
          <w:bCs/>
          <w:sz w:val="22"/>
          <w:szCs w:val="22"/>
          <w:highlight w:val="none"/>
        </w:rPr>
        <w:t>▲</w:t>
      </w:r>
      <w:r>
        <w:rPr>
          <w:rFonts w:hint="eastAsia" w:ascii="宋体" w:hAnsi="宋体" w:eastAsia="宋体" w:cs="宋体"/>
          <w:b/>
          <w:bCs/>
          <w:sz w:val="22"/>
          <w:szCs w:val="22"/>
          <w:highlight w:val="none"/>
          <w:u w:val="single"/>
        </w:rPr>
        <w:t>本项目报价</w:t>
      </w:r>
      <w:r>
        <w:rPr>
          <w:rFonts w:hint="eastAsia" w:ascii="宋体" w:hAnsi="宋体" w:eastAsia="宋体" w:cs="宋体"/>
          <w:b/>
          <w:bCs/>
          <w:color w:val="000000"/>
          <w:sz w:val="22"/>
          <w:szCs w:val="22"/>
          <w:highlight w:val="none"/>
          <w:u w:val="single"/>
        </w:rPr>
        <w:t>是指供应商在正确地完全履行合同义务后</w:t>
      </w:r>
      <w:r>
        <w:rPr>
          <w:rFonts w:hint="eastAsia" w:ascii="宋体" w:hAnsi="宋体" w:eastAsia="宋体" w:cs="宋体"/>
          <w:b/>
          <w:bCs/>
          <w:color w:val="000000"/>
          <w:sz w:val="22"/>
          <w:szCs w:val="22"/>
          <w:highlight w:val="none"/>
          <w:u w:val="single"/>
          <w:lang w:val="en-US" w:eastAsia="zh-CN"/>
        </w:rPr>
        <w:t>采购人</w:t>
      </w:r>
      <w:r>
        <w:rPr>
          <w:rFonts w:hint="eastAsia" w:ascii="宋体" w:hAnsi="宋体" w:eastAsia="宋体" w:cs="宋体"/>
          <w:b/>
          <w:bCs/>
          <w:color w:val="000000"/>
          <w:sz w:val="22"/>
          <w:szCs w:val="22"/>
          <w:highlight w:val="none"/>
          <w:u w:val="single"/>
        </w:rPr>
        <w:t>应支付给供应商的所有价款</w:t>
      </w:r>
      <w:r>
        <w:rPr>
          <w:rFonts w:hint="eastAsia" w:ascii="宋体" w:hAnsi="宋体" w:eastAsia="宋体" w:cs="宋体"/>
          <w:b/>
          <w:bCs/>
          <w:sz w:val="22"/>
          <w:szCs w:val="22"/>
          <w:highlight w:val="none"/>
          <w:u w:val="single"/>
        </w:rPr>
        <w:t>，</w:t>
      </w:r>
      <w:bookmarkStart w:id="87" w:name="_Hlk71637228"/>
      <w:r>
        <w:rPr>
          <w:rFonts w:hint="eastAsia" w:ascii="宋体" w:hAnsi="宋体" w:eastAsia="宋体" w:cs="宋体"/>
          <w:b/>
          <w:bCs/>
          <w:sz w:val="22"/>
          <w:szCs w:val="22"/>
          <w:highlight w:val="none"/>
          <w:u w:val="single"/>
        </w:rPr>
        <w:t>包含税金、管理费、利润、风险费等一切成本及费用。供应商应根据上述因素自行考虑含入总价。</w:t>
      </w:r>
      <w:r>
        <w:rPr>
          <w:rFonts w:hint="eastAsia" w:ascii="宋体" w:hAnsi="宋体" w:eastAsia="宋体" w:cs="宋体"/>
          <w:b/>
          <w:bCs/>
          <w:color w:val="000000"/>
          <w:sz w:val="22"/>
          <w:szCs w:val="22"/>
          <w:highlight w:val="none"/>
          <w:u w:val="single"/>
        </w:rPr>
        <w:t>供应商须充分考虑本项目的特殊性和不可预见性在内的所有为完成本项目引起的费用等所需的各项应有费用。</w:t>
      </w:r>
      <w:bookmarkEnd w:id="87"/>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beforeAutospacing="0" w:afterAutospacing="0" w:line="360" w:lineRule="auto"/>
        <w:ind w:leftChars="0"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4.2</w:t>
      </w:r>
      <w:r>
        <w:rPr>
          <w:rFonts w:hint="eastAsia" w:ascii="宋体" w:hAnsi="宋体" w:eastAsia="宋体" w:cs="宋体"/>
          <w:color w:val="000000" w:themeColor="text1"/>
          <w:sz w:val="22"/>
          <w:szCs w:val="22"/>
          <w:highlight w:val="none"/>
          <w14:textFill>
            <w14:solidFill>
              <w14:schemeClr w14:val="tx1"/>
            </w14:solidFill>
          </w14:textFill>
        </w:rPr>
        <w:t>供应商必须按第四部分附件的谈判报价一览表（统一格式）、分项报价表（统一格式）的内容填写单价、合价及其他事项，并由法定代表人或授权代表签署。</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beforeAutospacing="0" w:afterAutospacing="0" w:line="360" w:lineRule="auto"/>
        <w:ind w:leftChars="0"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4.3</w:t>
      </w:r>
      <w:r>
        <w:rPr>
          <w:rFonts w:hint="eastAsia" w:ascii="宋体" w:hAnsi="宋体" w:eastAsia="宋体" w:cs="宋体"/>
          <w:color w:val="000000" w:themeColor="text1"/>
          <w:sz w:val="22"/>
          <w:szCs w:val="22"/>
          <w:highlight w:val="none"/>
          <w14:textFill>
            <w14:solidFill>
              <w14:schemeClr w14:val="tx1"/>
            </w14:solidFill>
          </w14:textFill>
        </w:rPr>
        <w:t>所有报价均以人民币报价。</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beforeAutospacing="0" w:afterAutospacing="0" w:line="360" w:lineRule="auto"/>
        <w:ind w:leftChars="0" w:firstLine="442"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bCs/>
          <w:sz w:val="22"/>
          <w:szCs w:val="22"/>
          <w:highlight w:val="none"/>
          <w:lang w:val="en-US" w:eastAsia="zh-CN"/>
        </w:rPr>
        <w:t>4.4</w:t>
      </w:r>
      <w:r>
        <w:rPr>
          <w:rFonts w:hint="eastAsia" w:ascii="宋体" w:hAnsi="宋体" w:eastAsia="宋体" w:cs="宋体"/>
          <w:b/>
          <w:bCs/>
          <w:sz w:val="22"/>
          <w:szCs w:val="22"/>
          <w:highlight w:val="none"/>
        </w:rPr>
        <w:t>▲</w:t>
      </w:r>
      <w:r>
        <w:rPr>
          <w:rFonts w:hint="eastAsia" w:ascii="宋体" w:hAnsi="宋体" w:eastAsia="宋体" w:cs="宋体"/>
          <w:b/>
          <w:sz w:val="22"/>
          <w:szCs w:val="22"/>
          <w:highlight w:val="none"/>
          <w:u w:val="single"/>
        </w:rPr>
        <w:t>采购人不接受任何选择报价，只允许一个报价。</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beforeAutospacing="0" w:afterAutospacing="0" w:line="360" w:lineRule="auto"/>
        <w:ind w:leftChars="0"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4.5</w:t>
      </w:r>
      <w:r>
        <w:rPr>
          <w:rFonts w:hint="eastAsia" w:ascii="宋体" w:hAnsi="宋体" w:eastAsia="宋体" w:cs="宋体"/>
          <w:color w:val="000000" w:themeColor="text1"/>
          <w:sz w:val="22"/>
          <w:szCs w:val="22"/>
          <w:highlight w:val="none"/>
          <w14:textFill>
            <w14:solidFill>
              <w14:schemeClr w14:val="tx1"/>
            </w14:solidFill>
          </w14:textFill>
        </w:rPr>
        <w:t>采购人要求分类报价是为了方便评标，但在任何情况下不限制采购人以其认为最合适的条款、条件签订合同的权利。</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beforeAutospacing="0" w:afterAutospacing="0" w:line="360" w:lineRule="auto"/>
        <w:ind w:leftChars="0"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4.6</w:t>
      </w:r>
      <w:r>
        <w:rPr>
          <w:rFonts w:hint="eastAsia" w:ascii="宋体" w:hAnsi="宋体" w:eastAsia="宋体" w:cs="宋体"/>
          <w:color w:val="000000" w:themeColor="text1"/>
          <w:sz w:val="22"/>
          <w:szCs w:val="22"/>
          <w:highlight w:val="none"/>
          <w14:textFill>
            <w14:solidFill>
              <w14:schemeClr w14:val="tx1"/>
            </w14:solidFill>
          </w14:textFill>
        </w:rPr>
        <w:t>供应商所报的最后报价价在合同执行过程中是固定不变的，不得以任何理由予以变更。任何包含价格调整的要求，将被认为是非实质性响应报价而予以拒绝。</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5.</w:t>
      </w:r>
      <w:r>
        <w:rPr>
          <w:rFonts w:hint="eastAsia" w:ascii="宋体" w:hAnsi="宋体" w:eastAsia="宋体" w:cs="宋体"/>
          <w:bCs/>
          <w:color w:val="000000" w:themeColor="text1"/>
          <w:sz w:val="22"/>
          <w:szCs w:val="22"/>
          <w:highlight w:val="none"/>
          <w14:textFill>
            <w14:solidFill>
              <w14:schemeClr w14:val="tx1"/>
            </w14:solidFill>
          </w14:textFill>
        </w:rPr>
        <w:t>保证金：</w:t>
      </w:r>
      <w:r>
        <w:rPr>
          <w:rFonts w:hint="eastAsia" w:ascii="宋体" w:hAnsi="宋体" w:eastAsia="宋体" w:cs="宋体"/>
          <w:b/>
          <w:sz w:val="22"/>
          <w:szCs w:val="22"/>
          <w:highlight w:val="none"/>
        </w:rPr>
        <w:t>▲</w:t>
      </w:r>
      <w:r>
        <w:rPr>
          <w:rStyle w:val="31"/>
          <w:rFonts w:hint="eastAsia" w:ascii="宋体" w:hAnsi="宋体" w:eastAsia="宋体" w:cs="宋体"/>
          <w:color w:val="000000"/>
          <w:sz w:val="22"/>
          <w:szCs w:val="22"/>
          <w:highlight w:val="none"/>
          <w:u w:val="single"/>
        </w:rPr>
        <w:t>人民币</w:t>
      </w:r>
      <w:r>
        <w:rPr>
          <w:rStyle w:val="31"/>
          <w:rFonts w:hint="eastAsia" w:ascii="宋体" w:hAnsi="宋体" w:eastAsia="宋体" w:cs="宋体"/>
          <w:color w:val="000000"/>
          <w:sz w:val="22"/>
          <w:szCs w:val="22"/>
          <w:highlight w:val="none"/>
          <w:u w:val="single"/>
          <w:lang w:val="en-US" w:eastAsia="zh-CN"/>
        </w:rPr>
        <w:t>肆仟捌</w:t>
      </w:r>
      <w:r>
        <w:rPr>
          <w:rStyle w:val="31"/>
          <w:rFonts w:hint="eastAsia" w:ascii="宋体" w:hAnsi="宋体" w:eastAsia="宋体" w:cs="宋体"/>
          <w:color w:val="000000"/>
          <w:sz w:val="22"/>
          <w:szCs w:val="22"/>
          <w:highlight w:val="none"/>
          <w:u w:val="single"/>
        </w:rPr>
        <w:t>佰元整（供应商须在单一来源响应文件提交截止时间前将保证金以银行转帐形式缴纳并到帐，汇出账号须为供应商银行帐户）。</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6.</w:t>
      </w:r>
      <w:r>
        <w:rPr>
          <w:rFonts w:hint="eastAsia" w:ascii="宋体" w:hAnsi="宋体" w:eastAsia="宋体" w:cs="宋体"/>
          <w:bCs/>
          <w:color w:val="000000" w:themeColor="text1"/>
          <w:sz w:val="22"/>
          <w:szCs w:val="22"/>
          <w:highlight w:val="none"/>
          <w14:textFill>
            <w14:solidFill>
              <w14:schemeClr w14:val="tx1"/>
            </w14:solidFill>
          </w14:textFill>
        </w:rPr>
        <w:t>单一来源响应文件有效期</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beforeAutospacing="0" w:afterAutospacing="0" w:line="360" w:lineRule="auto"/>
        <w:ind w:leftChars="0"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6.1</w:t>
      </w:r>
      <w:r>
        <w:rPr>
          <w:rFonts w:hint="eastAsia" w:ascii="宋体" w:hAnsi="宋体" w:eastAsia="宋体" w:cs="宋体"/>
          <w:color w:val="000000" w:themeColor="text1"/>
          <w:sz w:val="22"/>
          <w:szCs w:val="22"/>
          <w:highlight w:val="none"/>
          <w14:textFill>
            <w14:solidFill>
              <w14:schemeClr w14:val="tx1"/>
            </w14:solidFill>
          </w14:textFill>
        </w:rPr>
        <w:t>自开标之日起 90天内响应文件应保持有效。单一来源响应文件有效期短于这个规定期限的响应将视为非响应性报价而予以拒绝。</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beforeAutospacing="0" w:afterAutospacing="0" w:line="360" w:lineRule="auto"/>
        <w:ind w:leftChars="0"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6.2</w:t>
      </w:r>
      <w:r>
        <w:rPr>
          <w:rFonts w:hint="eastAsia" w:ascii="宋体" w:hAnsi="宋体" w:eastAsia="宋体" w:cs="宋体"/>
          <w:color w:val="000000" w:themeColor="text1"/>
          <w:sz w:val="22"/>
          <w:szCs w:val="22"/>
          <w:highlight w:val="none"/>
          <w14:textFill>
            <w14:solidFill>
              <w14:schemeClr w14:val="tx1"/>
            </w14:solidFill>
          </w14:textFill>
        </w:rPr>
        <w:t>特殊情况下，在原单一来源响应文件有效期截止前，采购人可与供应商协商延长单一来源响应文件有效期，这种要求和答复均以书面形式进行。同意延长单一来源响应文件有效期的供应商不得修改单一来源响应文件。</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7.</w:t>
      </w:r>
      <w:r>
        <w:rPr>
          <w:rFonts w:hint="eastAsia" w:ascii="宋体" w:hAnsi="宋体" w:eastAsia="宋体" w:cs="宋体"/>
          <w:bCs/>
          <w:color w:val="000000" w:themeColor="text1"/>
          <w:sz w:val="22"/>
          <w:szCs w:val="22"/>
          <w:highlight w:val="none"/>
          <w14:textFill>
            <w14:solidFill>
              <w14:schemeClr w14:val="tx1"/>
            </w14:solidFill>
          </w14:textFill>
        </w:rPr>
        <w:t>单一来源响应文件的签署和规定</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beforeAutospacing="0" w:afterAutospacing="0" w:line="360" w:lineRule="auto"/>
        <w:ind w:leftChars="0" w:firstLine="442" w:firstLineChars="200"/>
        <w:textAlignment w:val="auto"/>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lang w:val="en-US" w:eastAsia="zh-CN"/>
          <w14:textFill>
            <w14:solidFill>
              <w14:schemeClr w14:val="tx1"/>
            </w14:solidFill>
          </w14:textFill>
        </w:rPr>
        <w:t>7.1</w:t>
      </w:r>
      <w:r>
        <w:rPr>
          <w:rFonts w:hint="eastAsia" w:ascii="宋体" w:hAnsi="宋体" w:eastAsia="宋体" w:cs="宋体"/>
          <w:b/>
          <w:color w:val="000000" w:themeColor="text1"/>
          <w:sz w:val="22"/>
          <w:szCs w:val="22"/>
          <w:highlight w:val="none"/>
          <w14:textFill>
            <w14:solidFill>
              <w14:schemeClr w14:val="tx1"/>
            </w14:solidFill>
          </w14:textFill>
        </w:rPr>
        <w:t>供应商应提供一式四份的单一来源响应文件，分别装订成册。其中正本一份、副本三份，每套单一来源响应文件的封面应清楚标明“正本”或“副本”字样，若“正本”与“副本”不符，以“正本”为准。</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beforeAutospacing="0" w:afterAutospacing="0" w:line="360" w:lineRule="auto"/>
        <w:ind w:leftChars="0"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7.2</w:t>
      </w:r>
      <w:r>
        <w:rPr>
          <w:rFonts w:hint="eastAsia" w:ascii="宋体" w:hAnsi="宋体" w:eastAsia="宋体" w:cs="宋体"/>
          <w:color w:val="000000" w:themeColor="text1"/>
          <w:sz w:val="22"/>
          <w:szCs w:val="22"/>
          <w:highlight w:val="none"/>
          <w14:textFill>
            <w14:solidFill>
              <w14:schemeClr w14:val="tx1"/>
            </w14:solidFill>
          </w14:textFill>
        </w:rPr>
        <w:t>单一来源响应文件的正本必须打印或用不褪色的墨水书写，并由法定代表人或其授权代表签署，副本可用正本的复印。</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beforeAutospacing="0" w:afterAutospacing="0" w:line="360" w:lineRule="auto"/>
        <w:ind w:leftChars="0" w:firstLine="442" w:firstLineChars="200"/>
        <w:textAlignment w:val="auto"/>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lang w:val="en-US" w:eastAsia="zh-CN"/>
          <w14:textFill>
            <w14:solidFill>
              <w14:schemeClr w14:val="tx1"/>
            </w14:solidFill>
          </w14:textFill>
        </w:rPr>
        <w:t>7.3</w:t>
      </w:r>
      <w:r>
        <w:rPr>
          <w:rFonts w:hint="eastAsia" w:ascii="宋体" w:hAnsi="宋体" w:eastAsia="宋体" w:cs="宋体"/>
          <w:b/>
          <w:color w:val="000000" w:themeColor="text1"/>
          <w:sz w:val="22"/>
          <w:szCs w:val="22"/>
          <w:highlight w:val="none"/>
          <w14:textFill>
            <w14:solidFill>
              <w14:schemeClr w14:val="tx1"/>
            </w14:solidFill>
          </w14:textFill>
        </w:rPr>
        <w:t>单一来源响应文件如有修改和增删必须由单一来源响应文件签字人在修改和增删处旁签署或盖章，方才有效。</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beforeAutospacing="0" w:afterAutospacing="0" w:line="360" w:lineRule="auto"/>
        <w:ind w:leftChars="0"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7.4</w:t>
      </w:r>
      <w:r>
        <w:rPr>
          <w:rFonts w:hint="eastAsia" w:ascii="宋体" w:hAnsi="宋体" w:eastAsia="宋体" w:cs="宋体"/>
          <w:color w:val="000000" w:themeColor="text1"/>
          <w:sz w:val="22"/>
          <w:szCs w:val="22"/>
          <w:highlight w:val="none"/>
          <w14:textFill>
            <w14:solidFill>
              <w14:schemeClr w14:val="tx1"/>
            </w14:solidFill>
          </w14:textFill>
        </w:rPr>
        <w:t>单一来源响应文件字迹模糊或在关键的技术、商务条款上表述不清楚，将可能导致其报价被拒绝。</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8.</w:t>
      </w:r>
      <w:r>
        <w:rPr>
          <w:rFonts w:hint="eastAsia" w:ascii="宋体" w:hAnsi="宋体" w:eastAsia="宋体" w:cs="宋体"/>
          <w:bCs/>
          <w:color w:val="000000" w:themeColor="text1"/>
          <w:sz w:val="22"/>
          <w:szCs w:val="22"/>
          <w:highlight w:val="none"/>
          <w14:textFill>
            <w14:solidFill>
              <w14:schemeClr w14:val="tx1"/>
            </w14:solidFill>
          </w14:textFill>
        </w:rPr>
        <w:t>单一来源响应文件的密封及标记</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beforeAutospacing="0" w:afterAutospacing="0" w:line="360" w:lineRule="auto"/>
        <w:ind w:leftChars="0" w:firstLine="442"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lang w:val="en-US" w:eastAsia="zh-CN"/>
          <w14:textFill>
            <w14:solidFill>
              <w14:schemeClr w14:val="tx1"/>
            </w14:solidFill>
          </w14:textFill>
        </w:rPr>
        <w:t>8.1</w:t>
      </w:r>
      <w:r>
        <w:rPr>
          <w:rFonts w:hint="eastAsia" w:ascii="宋体" w:hAnsi="宋体" w:eastAsia="宋体" w:cs="宋体"/>
          <w:b/>
          <w:color w:val="000000" w:themeColor="text1"/>
          <w:sz w:val="22"/>
          <w:szCs w:val="22"/>
          <w:highlight w:val="none"/>
          <w14:textFill>
            <w14:solidFill>
              <w14:schemeClr w14:val="tx1"/>
            </w14:solidFill>
          </w14:textFill>
        </w:rPr>
        <w:t>供应商必须将单一来源响应文件密封，且在密封袋上标明“单一来源响应文件”字样。</w:t>
      </w:r>
      <w:r>
        <w:rPr>
          <w:rFonts w:hint="eastAsia" w:ascii="宋体" w:hAnsi="宋体" w:eastAsia="宋体" w:cs="宋体"/>
          <w:color w:val="000000" w:themeColor="text1"/>
          <w:sz w:val="22"/>
          <w:szCs w:val="22"/>
          <w:highlight w:val="none"/>
          <w14:textFill>
            <w14:solidFill>
              <w14:schemeClr w14:val="tx1"/>
            </w14:solidFill>
          </w14:textFill>
        </w:rPr>
        <w:t>封口处贴上封条，启封处加盖供应商公章。</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beforeAutospacing="0" w:afterAutospacing="0" w:line="360" w:lineRule="auto"/>
        <w:ind w:leftChars="0"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8.2</w:t>
      </w:r>
      <w:r>
        <w:rPr>
          <w:rFonts w:hint="eastAsia" w:ascii="宋体" w:hAnsi="宋体" w:eastAsia="宋体" w:cs="宋体"/>
          <w:color w:val="000000" w:themeColor="text1"/>
          <w:sz w:val="22"/>
          <w:szCs w:val="22"/>
          <w:highlight w:val="none"/>
          <w14:textFill>
            <w14:solidFill>
              <w14:schemeClr w14:val="tx1"/>
            </w14:solidFill>
          </w14:textFill>
        </w:rPr>
        <w:t>如果供应商未按上述要求密封及加写标记，采购人对单一来源响应文件的误投和提前启封不负责任。</w:t>
      </w:r>
    </w:p>
    <w:p>
      <w:pPr>
        <w:pStyle w:val="58"/>
        <w:keepNext w:val="0"/>
        <w:keepLines w:val="0"/>
        <w:pageBreakBefore w:val="0"/>
        <w:widowControl w:val="0"/>
        <w:numPr>
          <w:ilvl w:val="0"/>
          <w:numId w:val="0"/>
        </w:numPr>
        <w:kinsoku/>
        <w:wordWrap/>
        <w:overflowPunct/>
        <w:topLinePunct w:val="0"/>
        <w:autoSpaceDE/>
        <w:autoSpaceDN/>
        <w:bidi w:val="0"/>
        <w:adjustRightInd/>
        <w:snapToGrid/>
        <w:spacing w:before="200" w:beforeAutospacing="0" w:after="200" w:afterAutospacing="0" w:line="240" w:lineRule="auto"/>
        <w:ind w:leftChars="0"/>
        <w:jc w:val="center"/>
        <w:textAlignment w:val="auto"/>
        <w:outlineLvl w:val="0"/>
        <w:rPr>
          <w:rFonts w:hint="eastAsia" w:ascii="宋体" w:hAnsi="宋体" w:eastAsia="宋体" w:cs="宋体"/>
          <w:color w:val="000000" w:themeColor="text1"/>
          <w:sz w:val="24"/>
          <w:szCs w:val="24"/>
          <w:highlight w:val="none"/>
          <w14:textFill>
            <w14:solidFill>
              <w14:schemeClr w14:val="tx1"/>
            </w14:solidFill>
          </w14:textFill>
        </w:rPr>
      </w:pPr>
      <w:bookmarkStart w:id="88" w:name="_Toc249758712"/>
      <w:bookmarkStart w:id="89" w:name="_Toc221374626"/>
      <w:bookmarkStart w:id="90" w:name="_Toc221356887"/>
      <w:bookmarkStart w:id="91" w:name="_Toc245722281"/>
      <w:bookmarkStart w:id="92" w:name="_Toc222114879"/>
      <w:bookmarkStart w:id="93" w:name="_Toc223715998"/>
      <w:bookmarkStart w:id="94" w:name="_Toc221423619"/>
      <w:bookmarkStart w:id="95" w:name="_Toc221356951"/>
      <w:bookmarkStart w:id="96" w:name="_Toc241404202"/>
      <w:bookmarkStart w:id="97" w:name="_Toc246261265"/>
      <w:bookmarkStart w:id="98" w:name="_Toc249758864"/>
      <w:bookmarkStart w:id="99" w:name="_Toc262049418"/>
      <w:bookmarkStart w:id="100" w:name="_Toc49175237"/>
      <w:bookmarkStart w:id="101" w:name="_Toc245191314"/>
      <w:bookmarkStart w:id="102" w:name="_Toc262105503"/>
      <w:bookmarkStart w:id="103" w:name="_Toc239145354"/>
      <w:bookmarkStart w:id="104" w:name="_Toc42868122"/>
      <w:r>
        <w:rPr>
          <w:rFonts w:hint="eastAsia" w:ascii="宋体" w:hAnsi="宋体" w:eastAsia="宋体" w:cs="宋体"/>
          <w:bCs/>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bCs/>
          <w:color w:val="000000" w:themeColor="text1"/>
          <w:sz w:val="24"/>
          <w:szCs w:val="24"/>
          <w:highlight w:val="none"/>
          <w14:textFill>
            <w14:solidFill>
              <w14:schemeClr w14:val="tx1"/>
            </w14:solidFill>
          </w14:textFill>
        </w:rPr>
        <w:t>单一来源响应文件的提交</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1.</w:t>
      </w:r>
      <w:r>
        <w:rPr>
          <w:rFonts w:hint="eastAsia" w:ascii="宋体" w:hAnsi="宋体" w:eastAsia="宋体" w:cs="宋体"/>
          <w:bCs/>
          <w:color w:val="000000" w:themeColor="text1"/>
          <w:sz w:val="22"/>
          <w:szCs w:val="22"/>
          <w:highlight w:val="none"/>
          <w14:textFill>
            <w14:solidFill>
              <w14:schemeClr w14:val="tx1"/>
            </w14:solidFill>
          </w14:textFill>
        </w:rPr>
        <w:t>单一来源响应文件的提交</w:t>
      </w:r>
    </w:p>
    <w:p>
      <w:pPr>
        <w:keepNext w:val="0"/>
        <w:keepLines w:val="0"/>
        <w:pageBreakBefore w:val="0"/>
        <w:widowControl w:val="0"/>
        <w:tabs>
          <w:tab w:val="left" w:pos="540"/>
        </w:tabs>
        <w:kinsoku/>
        <w:wordWrap/>
        <w:overflowPunct/>
        <w:topLinePunct w:val="0"/>
        <w:autoSpaceDE/>
        <w:autoSpaceDN/>
        <w:bidi w:val="0"/>
        <w:adjustRightInd/>
        <w:snapToGrid/>
        <w:spacing w:beforeAutospacing="0" w:afterAutospacing="0" w:line="360" w:lineRule="auto"/>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1.1</w:t>
      </w:r>
      <w:r>
        <w:rPr>
          <w:rFonts w:hint="eastAsia" w:ascii="宋体" w:hAnsi="宋体" w:eastAsia="宋体" w:cs="宋体"/>
          <w:b/>
          <w:sz w:val="22"/>
          <w:szCs w:val="22"/>
          <w:highlight w:val="none"/>
        </w:rPr>
        <w:t>▲</w:t>
      </w:r>
      <w:r>
        <w:rPr>
          <w:rFonts w:hint="eastAsia" w:ascii="宋体" w:hAnsi="宋体" w:eastAsia="宋体" w:cs="宋体"/>
          <w:b/>
          <w:sz w:val="22"/>
          <w:szCs w:val="22"/>
          <w:highlight w:val="none"/>
          <w:u w:val="single"/>
        </w:rPr>
        <w:t>单一来源响应文件必须在规定的单一来源响应文件提交截止时间前送达到指定的收标地点；</w:t>
      </w:r>
    </w:p>
    <w:p>
      <w:pPr>
        <w:keepNext w:val="0"/>
        <w:keepLines w:val="0"/>
        <w:pageBreakBefore w:val="0"/>
        <w:widowControl w:val="0"/>
        <w:tabs>
          <w:tab w:val="left" w:pos="540"/>
        </w:tabs>
        <w:kinsoku/>
        <w:wordWrap/>
        <w:overflowPunct/>
        <w:topLinePunct w:val="0"/>
        <w:autoSpaceDE/>
        <w:autoSpaceDN/>
        <w:bidi w:val="0"/>
        <w:adjustRightInd/>
        <w:snapToGrid/>
        <w:spacing w:beforeAutospacing="0" w:afterAutospacing="0" w:line="360" w:lineRule="auto"/>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1.2</w:t>
      </w:r>
      <w:r>
        <w:rPr>
          <w:rFonts w:hint="eastAsia" w:ascii="宋体" w:hAnsi="宋体" w:eastAsia="宋体" w:cs="宋体"/>
          <w:b/>
          <w:sz w:val="22"/>
          <w:szCs w:val="22"/>
          <w:highlight w:val="none"/>
        </w:rPr>
        <w:t>▲</w:t>
      </w:r>
      <w:r>
        <w:rPr>
          <w:rFonts w:hint="eastAsia" w:ascii="宋体" w:hAnsi="宋体" w:eastAsia="宋体" w:cs="宋体"/>
          <w:b/>
          <w:sz w:val="22"/>
          <w:szCs w:val="22"/>
          <w:highlight w:val="none"/>
          <w:u w:val="single"/>
        </w:rPr>
        <w:t>保证金缴纳证明（以政采云系统显示到账时间为准）；</w:t>
      </w:r>
    </w:p>
    <w:p>
      <w:pPr>
        <w:keepNext w:val="0"/>
        <w:keepLines w:val="0"/>
        <w:pageBreakBefore w:val="0"/>
        <w:widowControl w:val="0"/>
        <w:tabs>
          <w:tab w:val="left" w:pos="540"/>
        </w:tabs>
        <w:kinsoku/>
        <w:wordWrap/>
        <w:overflowPunct/>
        <w:topLinePunct w:val="0"/>
        <w:autoSpaceDE/>
        <w:autoSpaceDN/>
        <w:bidi w:val="0"/>
        <w:adjustRightInd/>
        <w:snapToGrid/>
        <w:spacing w:beforeAutospacing="0" w:afterAutospacing="0" w:line="360" w:lineRule="auto"/>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1.3</w:t>
      </w:r>
      <w:r>
        <w:rPr>
          <w:rFonts w:hint="eastAsia" w:ascii="宋体" w:hAnsi="宋体" w:eastAsia="宋体" w:cs="宋体"/>
          <w:b/>
          <w:sz w:val="22"/>
          <w:szCs w:val="22"/>
          <w:highlight w:val="none"/>
        </w:rPr>
        <w:t>▲</w:t>
      </w:r>
      <w:r>
        <w:rPr>
          <w:rFonts w:hint="eastAsia" w:ascii="宋体" w:hAnsi="宋体" w:eastAsia="宋体" w:cs="宋体"/>
          <w:b/>
          <w:sz w:val="22"/>
          <w:szCs w:val="22"/>
          <w:highlight w:val="none"/>
          <w:u w:val="single"/>
        </w:rPr>
        <w:t>供应商如是法定代表人或个体工商户经营者参加报价的，法定代表人有效身份证明（原件）、企业/事业单位法人营业执照或个体工商户营业执照复印件（加盖公章），由采购人或代理机构确认报价资格；</w:t>
      </w:r>
    </w:p>
    <w:p>
      <w:pPr>
        <w:keepNext w:val="0"/>
        <w:keepLines w:val="0"/>
        <w:pageBreakBefore w:val="0"/>
        <w:widowControl w:val="0"/>
        <w:tabs>
          <w:tab w:val="left" w:pos="540"/>
        </w:tabs>
        <w:kinsoku/>
        <w:wordWrap/>
        <w:overflowPunct/>
        <w:topLinePunct w:val="0"/>
        <w:autoSpaceDE/>
        <w:autoSpaceDN/>
        <w:bidi w:val="0"/>
        <w:adjustRightInd/>
        <w:snapToGrid/>
        <w:spacing w:beforeAutospacing="0" w:afterAutospacing="0" w:line="360" w:lineRule="auto"/>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1.4</w:t>
      </w:r>
      <w:r>
        <w:rPr>
          <w:rFonts w:hint="eastAsia" w:ascii="宋体" w:hAnsi="宋体" w:eastAsia="宋体" w:cs="宋体"/>
          <w:b/>
          <w:sz w:val="22"/>
          <w:szCs w:val="22"/>
          <w:highlight w:val="none"/>
        </w:rPr>
        <w:t>▲</w:t>
      </w:r>
      <w:r>
        <w:rPr>
          <w:rFonts w:hint="eastAsia" w:ascii="宋体" w:hAnsi="宋体" w:eastAsia="宋体" w:cs="宋体"/>
          <w:b/>
          <w:sz w:val="22"/>
          <w:szCs w:val="22"/>
          <w:highlight w:val="none"/>
          <w:u w:val="single"/>
        </w:rPr>
        <w:t>供应商如是授权代表参加报价的，法定代表人授权书（原件）、授权代表有效身份证明（原件）、企业/事业单位法人营业执照复印件（加盖公章），由采购人或代理机构确认报价资格；</w:t>
      </w:r>
    </w:p>
    <w:p>
      <w:pPr>
        <w:keepNext w:val="0"/>
        <w:keepLines w:val="0"/>
        <w:pageBreakBefore w:val="0"/>
        <w:widowControl w:val="0"/>
        <w:tabs>
          <w:tab w:val="left" w:pos="540"/>
        </w:tabs>
        <w:kinsoku/>
        <w:wordWrap/>
        <w:overflowPunct/>
        <w:topLinePunct w:val="0"/>
        <w:autoSpaceDE/>
        <w:autoSpaceDN/>
        <w:bidi w:val="0"/>
        <w:adjustRightInd/>
        <w:snapToGrid/>
        <w:spacing w:beforeAutospacing="0" w:afterAutospacing="0" w:line="360" w:lineRule="auto"/>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1.5</w:t>
      </w:r>
      <w:r>
        <w:rPr>
          <w:rFonts w:hint="eastAsia" w:ascii="宋体" w:hAnsi="宋体" w:eastAsia="宋体" w:cs="宋体"/>
          <w:b/>
          <w:sz w:val="22"/>
          <w:szCs w:val="22"/>
          <w:highlight w:val="none"/>
        </w:rPr>
        <w:t>▲</w:t>
      </w:r>
      <w:r>
        <w:rPr>
          <w:rFonts w:hint="eastAsia" w:ascii="宋体" w:hAnsi="宋体" w:eastAsia="宋体" w:cs="宋体"/>
          <w:b/>
          <w:sz w:val="22"/>
          <w:szCs w:val="22"/>
          <w:highlight w:val="none"/>
          <w:u w:val="single"/>
        </w:rPr>
        <w:t>法定代表人授权书原件、企业/事业法人营业执照或或个体工商户营业执照复印件等如密封在单一来源响应文件商务技术文件中，在商务技术文件开启后经查验符合要求亦为有效。</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2.</w:t>
      </w:r>
      <w:r>
        <w:rPr>
          <w:rFonts w:hint="eastAsia" w:ascii="宋体" w:hAnsi="宋体" w:eastAsia="宋体" w:cs="宋体"/>
          <w:bCs/>
          <w:color w:val="000000" w:themeColor="text1"/>
          <w:sz w:val="22"/>
          <w:szCs w:val="22"/>
          <w:highlight w:val="none"/>
          <w14:textFill>
            <w14:solidFill>
              <w14:schemeClr w14:val="tx1"/>
            </w14:solidFill>
          </w14:textFill>
        </w:rPr>
        <w:t>单一来源响应文件的修改和撤回</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beforeAutospacing="0" w:afterAutospacing="0" w:line="360" w:lineRule="auto"/>
        <w:ind w:leftChars="0" w:firstLine="440" w:firstLineChars="200"/>
        <w:textAlignment w:val="auto"/>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2.1</w:t>
      </w:r>
      <w:r>
        <w:rPr>
          <w:rFonts w:hint="eastAsia" w:ascii="宋体" w:hAnsi="宋体" w:eastAsia="宋体" w:cs="宋体"/>
          <w:color w:val="000000" w:themeColor="text1"/>
          <w:sz w:val="22"/>
          <w:szCs w:val="22"/>
          <w:highlight w:val="none"/>
          <w14:textFill>
            <w14:solidFill>
              <w14:schemeClr w14:val="tx1"/>
            </w14:solidFill>
          </w14:textFill>
        </w:rPr>
        <w:t>在单一来源响应文件提交截止时间前，供应商可以用书面形式提出修改或撤回其报价并送达到采购人，但不得影响开标活动的正常进行。</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beforeAutospacing="0" w:afterAutospacing="0" w:line="360" w:lineRule="auto"/>
        <w:ind w:leftChars="0"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2.2</w:t>
      </w:r>
      <w:r>
        <w:rPr>
          <w:rFonts w:hint="eastAsia" w:ascii="宋体" w:hAnsi="宋体" w:eastAsia="宋体" w:cs="宋体"/>
          <w:bCs/>
          <w:color w:val="000000" w:themeColor="text1"/>
          <w:sz w:val="22"/>
          <w:szCs w:val="22"/>
          <w:highlight w:val="none"/>
          <w14:textFill>
            <w14:solidFill>
              <w14:schemeClr w14:val="tx1"/>
            </w14:solidFill>
          </w14:textFill>
        </w:rPr>
        <w:t>“单一来源响应文件修改”或“单一来源响应文件撤回通知”都应密封并在密封袋上写明报价项目名称、编号、供应商单位名称，并注明“单一来源响应文件修改”或“单一来源响应文件撤回通知”字样。</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b/>
          <w:color w:val="000000" w:themeColor="text1"/>
          <w:sz w:val="22"/>
          <w:szCs w:val="22"/>
          <w:highlight w:val="none"/>
          <w:u w:val="single"/>
          <w14:textFill>
            <w14:solidFill>
              <w14:schemeClr w14:val="tx1"/>
            </w14:solidFill>
          </w14:textFill>
        </w:rPr>
      </w:pPr>
      <w:r>
        <w:rPr>
          <w:rFonts w:hint="eastAsia" w:ascii="宋体" w:hAnsi="宋体" w:eastAsia="宋体" w:cs="宋体"/>
          <w:b/>
          <w:color w:val="000000" w:themeColor="text1"/>
          <w:sz w:val="22"/>
          <w:szCs w:val="22"/>
          <w:highlight w:val="none"/>
          <w:lang w:val="en-US" w:eastAsia="zh-CN"/>
          <w14:textFill>
            <w14:solidFill>
              <w14:schemeClr w14:val="tx1"/>
            </w14:solidFill>
          </w14:textFill>
        </w:rPr>
        <w:t>3.</w:t>
      </w:r>
      <w:r>
        <w:rPr>
          <w:rFonts w:hint="eastAsia" w:ascii="宋体" w:hAnsi="宋体" w:eastAsia="宋体" w:cs="宋体"/>
          <w:b/>
          <w:color w:val="000000" w:themeColor="text1"/>
          <w:sz w:val="22"/>
          <w:szCs w:val="22"/>
          <w:highlight w:val="none"/>
          <w14:textFill>
            <w14:solidFill>
              <w14:schemeClr w14:val="tx1"/>
            </w14:solidFill>
          </w14:textFill>
        </w:rPr>
        <w:t>▲</w:t>
      </w:r>
      <w:r>
        <w:rPr>
          <w:rFonts w:hint="eastAsia" w:ascii="宋体" w:hAnsi="宋体" w:eastAsia="宋体" w:cs="宋体"/>
          <w:b/>
          <w:color w:val="000000" w:themeColor="text1"/>
          <w:sz w:val="22"/>
          <w:szCs w:val="22"/>
          <w:highlight w:val="none"/>
          <w:u w:val="single"/>
          <w14:textFill>
            <w14:solidFill>
              <w14:schemeClr w14:val="tx1"/>
            </w14:solidFill>
          </w14:textFill>
        </w:rPr>
        <w:t>发生下列情况之一的单一来源响应文件将拒收：</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beforeAutospacing="0" w:afterAutospacing="0" w:line="360" w:lineRule="auto"/>
        <w:ind w:leftChars="0" w:firstLine="442" w:firstLineChars="200"/>
        <w:textAlignment w:val="auto"/>
        <w:rPr>
          <w:rFonts w:hint="eastAsia" w:ascii="宋体" w:hAnsi="宋体" w:eastAsia="宋体" w:cs="宋体"/>
          <w:b/>
          <w:color w:val="000000" w:themeColor="text1"/>
          <w:sz w:val="22"/>
          <w:szCs w:val="22"/>
          <w:highlight w:val="none"/>
          <w:u w:val="single"/>
          <w14:textFill>
            <w14:solidFill>
              <w14:schemeClr w14:val="tx1"/>
            </w14:solidFill>
          </w14:textFill>
        </w:rPr>
      </w:pPr>
      <w:r>
        <w:rPr>
          <w:rFonts w:hint="eastAsia" w:ascii="宋体" w:hAnsi="宋体" w:eastAsia="宋体" w:cs="宋体"/>
          <w:b/>
          <w:color w:val="000000" w:themeColor="text1"/>
          <w:sz w:val="22"/>
          <w:szCs w:val="22"/>
          <w:highlight w:val="none"/>
          <w:u w:val="single"/>
          <w:lang w:val="en-US" w:eastAsia="zh-CN"/>
          <w14:textFill>
            <w14:solidFill>
              <w14:schemeClr w14:val="tx1"/>
            </w14:solidFill>
          </w14:textFill>
        </w:rPr>
        <w:t>3.1</w:t>
      </w:r>
      <w:r>
        <w:rPr>
          <w:rFonts w:hint="eastAsia" w:ascii="宋体" w:hAnsi="宋体" w:eastAsia="宋体" w:cs="宋体"/>
          <w:b/>
          <w:color w:val="000000" w:themeColor="text1"/>
          <w:sz w:val="22"/>
          <w:szCs w:val="22"/>
          <w:highlight w:val="none"/>
          <w:u w:val="single"/>
          <w14:textFill>
            <w14:solidFill>
              <w14:schemeClr w14:val="tx1"/>
            </w14:solidFill>
          </w14:textFill>
        </w:rPr>
        <w:t>在单一来源响应文件提交截止时间以后送达的单一来源响应文件；</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beforeAutospacing="0" w:afterAutospacing="0" w:line="360" w:lineRule="auto"/>
        <w:ind w:leftChars="0" w:firstLine="442" w:firstLineChars="200"/>
        <w:textAlignment w:val="auto"/>
        <w:rPr>
          <w:rFonts w:hint="eastAsia" w:ascii="宋体" w:hAnsi="宋体" w:eastAsia="宋体" w:cs="宋体"/>
          <w:b/>
          <w:color w:val="000000" w:themeColor="text1"/>
          <w:sz w:val="22"/>
          <w:szCs w:val="22"/>
          <w:highlight w:val="none"/>
          <w:u w:val="single"/>
          <w14:textFill>
            <w14:solidFill>
              <w14:schemeClr w14:val="tx1"/>
            </w14:solidFill>
          </w14:textFill>
        </w:rPr>
      </w:pPr>
      <w:r>
        <w:rPr>
          <w:rFonts w:hint="eastAsia" w:ascii="宋体" w:hAnsi="宋体" w:eastAsia="宋体" w:cs="宋体"/>
          <w:b/>
          <w:color w:val="000000" w:themeColor="text1"/>
          <w:sz w:val="22"/>
          <w:szCs w:val="22"/>
          <w:highlight w:val="none"/>
          <w:u w:val="single"/>
          <w:lang w:val="en-US" w:eastAsia="zh-CN"/>
          <w14:textFill>
            <w14:solidFill>
              <w14:schemeClr w14:val="tx1"/>
            </w14:solidFill>
          </w14:textFill>
        </w:rPr>
        <w:t>3.2</w:t>
      </w:r>
      <w:r>
        <w:rPr>
          <w:rFonts w:hint="eastAsia" w:ascii="宋体" w:hAnsi="宋体" w:eastAsia="宋体" w:cs="宋体"/>
          <w:b/>
          <w:color w:val="000000" w:themeColor="text1"/>
          <w:sz w:val="22"/>
          <w:szCs w:val="22"/>
          <w:highlight w:val="none"/>
          <w:u w:val="single"/>
          <w14:textFill>
            <w14:solidFill>
              <w14:schemeClr w14:val="tx1"/>
            </w14:solidFill>
          </w14:textFill>
        </w:rPr>
        <w:t>未购买单一来源采购文件；</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beforeAutospacing="0" w:afterAutospacing="0" w:line="360" w:lineRule="auto"/>
        <w:ind w:leftChars="0" w:firstLine="442" w:firstLineChars="200"/>
        <w:textAlignment w:val="auto"/>
        <w:rPr>
          <w:rFonts w:hint="eastAsia" w:ascii="宋体" w:hAnsi="宋体" w:eastAsia="宋体" w:cs="宋体"/>
          <w:b/>
          <w:color w:val="000000" w:themeColor="text1"/>
          <w:sz w:val="22"/>
          <w:szCs w:val="22"/>
          <w:highlight w:val="none"/>
          <w:u w:val="single"/>
          <w14:textFill>
            <w14:solidFill>
              <w14:schemeClr w14:val="tx1"/>
            </w14:solidFill>
          </w14:textFill>
        </w:rPr>
      </w:pPr>
      <w:r>
        <w:rPr>
          <w:rFonts w:hint="eastAsia" w:ascii="宋体" w:hAnsi="宋体" w:eastAsia="宋体" w:cs="宋体"/>
          <w:b/>
          <w:color w:val="000000" w:themeColor="text1"/>
          <w:sz w:val="22"/>
          <w:szCs w:val="22"/>
          <w:highlight w:val="none"/>
          <w:u w:val="single"/>
          <w:lang w:val="en-US" w:eastAsia="zh-CN"/>
          <w14:textFill>
            <w14:solidFill>
              <w14:schemeClr w14:val="tx1"/>
            </w14:solidFill>
          </w14:textFill>
        </w:rPr>
        <w:t>3.3</w:t>
      </w:r>
      <w:r>
        <w:rPr>
          <w:rFonts w:hint="eastAsia" w:ascii="宋体" w:hAnsi="宋体" w:eastAsia="宋体" w:cs="宋体"/>
          <w:b/>
          <w:color w:val="000000" w:themeColor="text1"/>
          <w:sz w:val="22"/>
          <w:szCs w:val="22"/>
          <w:highlight w:val="none"/>
          <w:u w:val="single"/>
          <w14:textFill>
            <w14:solidFill>
              <w14:schemeClr w14:val="tx1"/>
            </w14:solidFill>
          </w14:textFill>
        </w:rPr>
        <w:t>未缴纳保证金；</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beforeAutospacing="0" w:afterAutospacing="0" w:line="360" w:lineRule="auto"/>
        <w:ind w:leftChars="0" w:firstLine="442" w:firstLineChars="200"/>
        <w:textAlignment w:val="auto"/>
        <w:rPr>
          <w:rFonts w:hint="eastAsia" w:ascii="宋体" w:hAnsi="宋体" w:eastAsia="宋体" w:cs="宋体"/>
          <w:b/>
          <w:color w:val="000000" w:themeColor="text1"/>
          <w:sz w:val="22"/>
          <w:szCs w:val="22"/>
          <w:highlight w:val="none"/>
          <w:u w:val="single"/>
          <w14:textFill>
            <w14:solidFill>
              <w14:schemeClr w14:val="tx1"/>
            </w14:solidFill>
          </w14:textFill>
        </w:rPr>
      </w:pPr>
      <w:r>
        <w:rPr>
          <w:rFonts w:hint="eastAsia" w:ascii="宋体" w:hAnsi="宋体" w:eastAsia="宋体" w:cs="宋体"/>
          <w:b/>
          <w:color w:val="000000" w:themeColor="text1"/>
          <w:sz w:val="22"/>
          <w:szCs w:val="22"/>
          <w:highlight w:val="none"/>
          <w:u w:val="single"/>
          <w:lang w:val="en-US" w:eastAsia="zh-CN"/>
          <w14:textFill>
            <w14:solidFill>
              <w14:schemeClr w14:val="tx1"/>
            </w14:solidFill>
          </w14:textFill>
        </w:rPr>
        <w:t>3.4</w:t>
      </w:r>
      <w:r>
        <w:rPr>
          <w:rFonts w:hint="eastAsia" w:ascii="宋体" w:hAnsi="宋体" w:eastAsia="宋体" w:cs="宋体"/>
          <w:b/>
          <w:color w:val="000000" w:themeColor="text1"/>
          <w:sz w:val="22"/>
          <w:szCs w:val="22"/>
          <w:highlight w:val="none"/>
          <w:u w:val="single"/>
          <w14:textFill>
            <w14:solidFill>
              <w14:schemeClr w14:val="tx1"/>
            </w14:solidFill>
          </w14:textFill>
        </w:rPr>
        <w:t>未密封或未装订的单一来源响应文件及由于包装不妥在送达途中严重破损或失散的单一来源响应文件；</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beforeAutospacing="0" w:afterAutospacing="0" w:line="360" w:lineRule="auto"/>
        <w:ind w:leftChars="0" w:firstLine="442" w:firstLineChars="200"/>
        <w:textAlignment w:val="auto"/>
        <w:rPr>
          <w:rFonts w:hint="eastAsia" w:ascii="宋体" w:hAnsi="宋体" w:eastAsia="宋体" w:cs="宋体"/>
          <w:b/>
          <w:color w:val="000000" w:themeColor="text1"/>
          <w:sz w:val="22"/>
          <w:szCs w:val="22"/>
          <w:highlight w:val="none"/>
          <w:u w:val="single"/>
          <w14:textFill>
            <w14:solidFill>
              <w14:schemeClr w14:val="tx1"/>
            </w14:solidFill>
          </w14:textFill>
        </w:rPr>
      </w:pPr>
      <w:r>
        <w:rPr>
          <w:rFonts w:hint="eastAsia" w:ascii="宋体" w:hAnsi="宋体" w:eastAsia="宋体" w:cs="宋体"/>
          <w:b/>
          <w:color w:val="000000" w:themeColor="text1"/>
          <w:sz w:val="22"/>
          <w:szCs w:val="22"/>
          <w:highlight w:val="none"/>
          <w:u w:val="single"/>
          <w:lang w:val="en-US" w:eastAsia="zh-CN"/>
          <w14:textFill>
            <w14:solidFill>
              <w14:schemeClr w14:val="tx1"/>
            </w14:solidFill>
          </w14:textFill>
        </w:rPr>
        <w:t>3.5</w:t>
      </w:r>
      <w:r>
        <w:rPr>
          <w:rFonts w:hint="eastAsia" w:ascii="宋体" w:hAnsi="宋体" w:eastAsia="宋体" w:cs="宋体"/>
          <w:b/>
          <w:color w:val="000000" w:themeColor="text1"/>
          <w:sz w:val="22"/>
          <w:szCs w:val="22"/>
          <w:highlight w:val="none"/>
          <w:u w:val="single"/>
          <w14:textFill>
            <w14:solidFill>
              <w14:schemeClr w14:val="tx1"/>
            </w14:solidFill>
          </w14:textFill>
        </w:rPr>
        <w:t>以电讯形式递交的单一来源响应文件。</w:t>
      </w:r>
    </w:p>
    <w:p>
      <w:pPr>
        <w:keepNext w:val="0"/>
        <w:keepLines w:val="0"/>
        <w:pageBreakBefore w:val="0"/>
        <w:widowControl w:val="0"/>
        <w:tabs>
          <w:tab w:val="left" w:pos="360"/>
          <w:tab w:val="left" w:pos="540"/>
          <w:tab w:val="left" w:pos="1260"/>
        </w:tabs>
        <w:kinsoku/>
        <w:wordWrap/>
        <w:overflowPunct/>
        <w:topLinePunct w:val="0"/>
        <w:autoSpaceDE/>
        <w:autoSpaceDN/>
        <w:bidi w:val="0"/>
        <w:adjustRightInd/>
        <w:snapToGrid/>
        <w:spacing w:before="200" w:beforeAutospacing="0" w:after="200" w:afterAutospacing="0" w:line="240" w:lineRule="auto"/>
        <w:ind w:left="915" w:hanging="844" w:hangingChars="352"/>
        <w:jc w:val="center"/>
        <w:textAlignment w:val="auto"/>
        <w:outlineLvl w:val="0"/>
        <w:rPr>
          <w:rFonts w:hint="eastAsia" w:ascii="宋体" w:hAnsi="宋体" w:eastAsia="宋体" w:cs="宋体"/>
          <w:color w:val="000000" w:themeColor="text1"/>
          <w:sz w:val="24"/>
          <w:szCs w:val="24"/>
          <w:highlight w:val="none"/>
          <w14:textFill>
            <w14:solidFill>
              <w14:schemeClr w14:val="tx1"/>
            </w14:solidFill>
          </w14:textFill>
        </w:rPr>
      </w:pPr>
      <w:bookmarkStart w:id="105" w:name="_Toc245722282"/>
      <w:bookmarkStart w:id="106" w:name="_Toc49175238"/>
      <w:bookmarkStart w:id="107" w:name="_Toc221356888"/>
      <w:bookmarkStart w:id="108" w:name="_Toc262049419"/>
      <w:bookmarkStart w:id="109" w:name="_Toc42868123"/>
      <w:bookmarkStart w:id="110" w:name="_Toc222114880"/>
      <w:bookmarkStart w:id="111" w:name="_Toc262105504"/>
      <w:bookmarkStart w:id="112" w:name="_Toc223715999"/>
      <w:bookmarkStart w:id="113" w:name="_Toc249758713"/>
      <w:bookmarkStart w:id="114" w:name="_Toc241404203"/>
      <w:bookmarkStart w:id="115" w:name="_Toc221356952"/>
      <w:bookmarkStart w:id="116" w:name="_Toc221423620"/>
      <w:bookmarkStart w:id="117" w:name="_Toc221374627"/>
      <w:bookmarkStart w:id="118" w:name="_Toc245191315"/>
      <w:bookmarkStart w:id="119" w:name="_Toc239145355"/>
      <w:bookmarkStart w:id="120" w:name="_Toc249758865"/>
      <w:bookmarkStart w:id="121" w:name="_Toc246261266"/>
      <w:r>
        <w:rPr>
          <w:rFonts w:hint="eastAsia" w:ascii="宋体" w:hAnsi="宋体" w:eastAsia="宋体" w:cs="宋体"/>
          <w:bCs/>
          <w:color w:val="000000" w:themeColor="text1"/>
          <w:sz w:val="24"/>
          <w:szCs w:val="24"/>
          <w:highlight w:val="none"/>
          <w14:textFill>
            <w14:solidFill>
              <w14:schemeClr w14:val="tx1"/>
            </w14:solidFill>
          </w14:textFill>
        </w:rPr>
        <w:t>五、开标和评标</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1.</w:t>
      </w:r>
      <w:r>
        <w:rPr>
          <w:rFonts w:hint="eastAsia" w:ascii="宋体" w:hAnsi="宋体" w:eastAsia="宋体" w:cs="宋体"/>
          <w:bCs/>
          <w:color w:val="000000" w:themeColor="text1"/>
          <w:sz w:val="22"/>
          <w:szCs w:val="22"/>
          <w:highlight w:val="none"/>
          <w14:textFill>
            <w14:solidFill>
              <w14:schemeClr w14:val="tx1"/>
            </w14:solidFill>
          </w14:textFill>
        </w:rPr>
        <w:t>评审小组</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40" w:firstLineChars="200"/>
        <w:textAlignment w:val="auto"/>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采购人</w:t>
      </w:r>
      <w:r>
        <w:rPr>
          <w:rFonts w:hint="eastAsia" w:ascii="宋体" w:hAnsi="宋体" w:eastAsia="宋体" w:cs="宋体"/>
          <w:bCs/>
          <w:color w:val="000000" w:themeColor="text1"/>
          <w:sz w:val="22"/>
          <w:szCs w:val="22"/>
          <w:highlight w:val="none"/>
          <w14:textFill>
            <w14:solidFill>
              <w14:schemeClr w14:val="tx1"/>
            </w14:solidFill>
          </w14:textFill>
        </w:rPr>
        <w:t>依法组建评审小组。评审小组的成员在评标过程中必须严格遵守《温州市市属国有企业采购管理办法（试行）》等有关法律、法规的规定。评审小组成员由采购人代表和有关技术、经济等方面的专家组成，成员人数为3人。</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2.</w:t>
      </w:r>
      <w:r>
        <w:rPr>
          <w:rFonts w:hint="eastAsia" w:ascii="宋体" w:hAnsi="宋体" w:eastAsia="宋体" w:cs="宋体"/>
          <w:bCs/>
          <w:color w:val="000000" w:themeColor="text1"/>
          <w:sz w:val="22"/>
          <w:szCs w:val="22"/>
          <w:highlight w:val="none"/>
          <w14:textFill>
            <w14:solidFill>
              <w14:schemeClr w14:val="tx1"/>
            </w14:solidFill>
          </w14:textFill>
        </w:rPr>
        <w:t>评标过程的保密性</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40" w:firstLineChars="200"/>
        <w:textAlignment w:val="auto"/>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开标后直至向成交供应商授予合同时止，凡与评审有关的资料均不得向供应商及与评标无关人员透露。如果供应商在评标过程中试图向</w:t>
      </w:r>
      <w:r>
        <w:rPr>
          <w:rFonts w:hint="eastAsia" w:ascii="宋体" w:hAnsi="宋体" w:eastAsia="宋体" w:cs="宋体"/>
          <w:color w:val="000000" w:themeColor="text1"/>
          <w:sz w:val="22"/>
          <w:szCs w:val="22"/>
          <w:highlight w:val="none"/>
          <w14:textFill>
            <w14:solidFill>
              <w14:schemeClr w14:val="tx1"/>
            </w14:solidFill>
          </w14:textFill>
        </w:rPr>
        <w:t>采购人</w:t>
      </w:r>
      <w:r>
        <w:rPr>
          <w:rFonts w:hint="eastAsia" w:ascii="宋体" w:hAnsi="宋体" w:eastAsia="宋体" w:cs="宋体"/>
          <w:bCs/>
          <w:color w:val="000000" w:themeColor="text1"/>
          <w:sz w:val="22"/>
          <w:szCs w:val="22"/>
          <w:highlight w:val="none"/>
          <w14:textFill>
            <w14:solidFill>
              <w14:schemeClr w14:val="tx1"/>
            </w14:solidFill>
          </w14:textFill>
        </w:rPr>
        <w:t>和评审小组施加影响，其报价将被拒绝。</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3.</w:t>
      </w:r>
      <w:r>
        <w:rPr>
          <w:rFonts w:hint="eastAsia" w:ascii="宋体" w:hAnsi="宋体" w:eastAsia="宋体" w:cs="宋体"/>
          <w:bCs/>
          <w:color w:val="000000" w:themeColor="text1"/>
          <w:sz w:val="22"/>
          <w:szCs w:val="22"/>
          <w:highlight w:val="none"/>
          <w14:textFill>
            <w14:solidFill>
              <w14:schemeClr w14:val="tx1"/>
            </w14:solidFill>
          </w14:textFill>
        </w:rPr>
        <w:t>开标、评标</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beforeAutospacing="0" w:afterAutospacing="0" w:line="360" w:lineRule="auto"/>
        <w:ind w:leftChars="0" w:firstLine="440" w:firstLineChars="200"/>
        <w:textAlignment w:val="auto"/>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3.1</w:t>
      </w:r>
      <w:r>
        <w:rPr>
          <w:rFonts w:hint="eastAsia" w:ascii="宋体" w:hAnsi="宋体" w:eastAsia="宋体" w:cs="宋体"/>
          <w:bCs/>
          <w:color w:val="000000" w:themeColor="text1"/>
          <w:sz w:val="22"/>
          <w:szCs w:val="22"/>
          <w:highlight w:val="none"/>
          <w14:textFill>
            <w14:solidFill>
              <w14:schemeClr w14:val="tx1"/>
            </w14:solidFill>
          </w14:textFill>
        </w:rPr>
        <w:t>采购代理机构按单一来源采购文件规定的时间、地点开启单一来源响应文件。开标前首先检查标书的密封情况，确认无误后由采购代理工作人员当场拆封。</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beforeAutospacing="0" w:afterAutospacing="0" w:line="360" w:lineRule="auto"/>
        <w:ind w:leftChars="0" w:firstLine="440" w:firstLineChars="200"/>
        <w:textAlignment w:val="auto"/>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3.2</w:t>
      </w:r>
      <w:r>
        <w:rPr>
          <w:rFonts w:hint="eastAsia" w:ascii="宋体" w:hAnsi="宋体" w:eastAsia="宋体" w:cs="宋体"/>
          <w:bCs/>
          <w:color w:val="000000" w:themeColor="text1"/>
          <w:sz w:val="22"/>
          <w:szCs w:val="22"/>
          <w:highlight w:val="none"/>
          <w14:textFill>
            <w14:solidFill>
              <w14:schemeClr w14:val="tx1"/>
            </w14:solidFill>
          </w14:textFill>
        </w:rPr>
        <w:t>单一来源响应文件的初审（初审分为资格性审查和符合性检查）</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40" w:firstLineChars="200"/>
        <w:textAlignment w:val="auto"/>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lang w:eastAsia="zh-CN"/>
          <w14:textFill>
            <w14:solidFill>
              <w14:schemeClr w14:val="tx1"/>
            </w14:solidFill>
          </w14:textFill>
        </w:rPr>
        <w:t>（</w:t>
      </w:r>
      <w:r>
        <w:rPr>
          <w:rFonts w:hint="eastAsia" w:ascii="宋体" w:hAnsi="宋体" w:eastAsia="宋体" w:cs="宋体"/>
          <w:bCs/>
          <w:color w:val="000000" w:themeColor="text1"/>
          <w:sz w:val="22"/>
          <w:szCs w:val="22"/>
          <w:highlight w:val="none"/>
          <w:lang w:val="en-US" w:eastAsia="zh-CN"/>
          <w14:textFill>
            <w14:solidFill>
              <w14:schemeClr w14:val="tx1"/>
            </w14:solidFill>
          </w14:textFill>
        </w:rPr>
        <w:t>1</w:t>
      </w:r>
      <w:r>
        <w:rPr>
          <w:rFonts w:hint="eastAsia" w:ascii="宋体" w:hAnsi="宋体" w:eastAsia="宋体" w:cs="宋体"/>
          <w:bCs/>
          <w:color w:val="000000" w:themeColor="text1"/>
          <w:sz w:val="22"/>
          <w:szCs w:val="22"/>
          <w:highlight w:val="none"/>
          <w:lang w:eastAsia="zh-CN"/>
          <w14:textFill>
            <w14:solidFill>
              <w14:schemeClr w14:val="tx1"/>
            </w14:solidFill>
          </w14:textFill>
        </w:rPr>
        <w:t>）</w:t>
      </w:r>
      <w:r>
        <w:rPr>
          <w:rFonts w:hint="eastAsia" w:ascii="宋体" w:hAnsi="宋体" w:eastAsia="宋体" w:cs="宋体"/>
          <w:bCs/>
          <w:color w:val="000000" w:themeColor="text1"/>
          <w:sz w:val="22"/>
          <w:szCs w:val="22"/>
          <w:highlight w:val="none"/>
          <w14:textFill>
            <w14:solidFill>
              <w14:schemeClr w14:val="tx1"/>
            </w14:solidFill>
          </w14:textFill>
        </w:rPr>
        <w:t>资格性审查。依据法律、法规和单一来源采购文件的规定，评审小组对单一来源响应文件中的法定代表人授权书（原件）、供应商有效身份证件（原件）等资格证明进行审查。以确定是否具备报价资格。审查不合格的单一来源响应文件将不予接受。</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40" w:firstLineChars="200"/>
        <w:textAlignment w:val="auto"/>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lang w:eastAsia="zh-CN"/>
          <w14:textFill>
            <w14:solidFill>
              <w14:schemeClr w14:val="tx1"/>
            </w14:solidFill>
          </w14:textFill>
        </w:rPr>
        <w:t>（</w:t>
      </w:r>
      <w:r>
        <w:rPr>
          <w:rFonts w:hint="eastAsia" w:ascii="宋体" w:hAnsi="宋体" w:eastAsia="宋体" w:cs="宋体"/>
          <w:bCs/>
          <w:color w:val="000000" w:themeColor="text1"/>
          <w:sz w:val="22"/>
          <w:szCs w:val="22"/>
          <w:highlight w:val="none"/>
          <w:lang w:val="en-US" w:eastAsia="zh-CN"/>
          <w14:textFill>
            <w14:solidFill>
              <w14:schemeClr w14:val="tx1"/>
            </w14:solidFill>
          </w14:textFill>
        </w:rPr>
        <w:t>2</w:t>
      </w:r>
      <w:r>
        <w:rPr>
          <w:rFonts w:hint="eastAsia" w:ascii="宋体" w:hAnsi="宋体" w:eastAsia="宋体" w:cs="宋体"/>
          <w:bCs/>
          <w:color w:val="000000" w:themeColor="text1"/>
          <w:sz w:val="22"/>
          <w:szCs w:val="22"/>
          <w:highlight w:val="none"/>
          <w:lang w:eastAsia="zh-CN"/>
          <w14:textFill>
            <w14:solidFill>
              <w14:schemeClr w14:val="tx1"/>
            </w14:solidFill>
          </w14:textFill>
        </w:rPr>
        <w:t>）</w:t>
      </w:r>
      <w:r>
        <w:rPr>
          <w:rFonts w:hint="eastAsia" w:ascii="宋体" w:hAnsi="宋体" w:eastAsia="宋体" w:cs="宋体"/>
          <w:bCs/>
          <w:color w:val="000000" w:themeColor="text1"/>
          <w:sz w:val="22"/>
          <w:szCs w:val="22"/>
          <w:highlight w:val="none"/>
          <w14:textFill>
            <w14:solidFill>
              <w14:schemeClr w14:val="tx1"/>
            </w14:solidFill>
          </w14:textFill>
        </w:rPr>
        <w:t>符合性检查。依据单一来源采购文件的规定，从单一来源响应文件的有效性、完整性和对单一来源采购文件的响应程度进行审查，以确定是否对单一来源采购文件的实质性要求作出响应。</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40" w:firstLineChars="200"/>
        <w:textAlignment w:val="auto"/>
        <w:rPr>
          <w:rFonts w:hint="eastAsia" w:ascii="宋体" w:hAnsi="宋体" w:eastAsia="宋体" w:cs="宋体"/>
          <w:b/>
          <w:bCs/>
          <w:color w:val="000000" w:themeColor="text1"/>
          <w:sz w:val="22"/>
          <w:szCs w:val="22"/>
          <w:highlight w:val="none"/>
          <w:u w:val="singl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w:t>
      </w:r>
      <w:r>
        <w:rPr>
          <w:rFonts w:hint="eastAsia" w:ascii="宋体" w:hAnsi="宋体" w:eastAsia="宋体" w:cs="宋体"/>
          <w:b/>
          <w:bCs/>
          <w:color w:val="000000" w:themeColor="text1"/>
          <w:sz w:val="22"/>
          <w:szCs w:val="22"/>
          <w:highlight w:val="none"/>
          <w:u w:val="single"/>
          <w14:textFill>
            <w14:solidFill>
              <w14:schemeClr w14:val="tx1"/>
            </w14:solidFill>
          </w14:textFill>
        </w:rPr>
        <w:t>通过资格性审查与符合性审查的单一来源响应文件由评委进行综合评审，审查确认未通过的单一来源响应文件不予评审。</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beforeAutospacing="0" w:afterAutospacing="0" w:line="360" w:lineRule="auto"/>
        <w:ind w:leftChars="0" w:firstLine="442" w:firstLineChars="200"/>
        <w:textAlignment w:val="auto"/>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3.3</w:t>
      </w:r>
      <w:r>
        <w:rPr>
          <w:rFonts w:hint="eastAsia" w:ascii="宋体" w:hAnsi="宋体" w:eastAsia="宋体" w:cs="宋体"/>
          <w:b/>
          <w:bCs/>
          <w:color w:val="000000" w:themeColor="text1"/>
          <w:sz w:val="22"/>
          <w:szCs w:val="22"/>
          <w:highlight w:val="none"/>
          <w14:textFill>
            <w14:solidFill>
              <w14:schemeClr w14:val="tx1"/>
            </w14:solidFill>
          </w14:textFill>
        </w:rPr>
        <w:t>报价</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40" w:firstLineChars="200"/>
        <w:textAlignment w:val="auto"/>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lang w:eastAsia="zh-CN"/>
          <w14:textFill>
            <w14:solidFill>
              <w14:schemeClr w14:val="tx1"/>
            </w14:solidFill>
          </w14:textFill>
        </w:rPr>
        <w:t>（</w:t>
      </w:r>
      <w:r>
        <w:rPr>
          <w:rFonts w:hint="eastAsia" w:ascii="宋体" w:hAnsi="宋体" w:eastAsia="宋体" w:cs="宋体"/>
          <w:bCs/>
          <w:color w:val="000000" w:themeColor="text1"/>
          <w:sz w:val="22"/>
          <w:szCs w:val="22"/>
          <w:highlight w:val="none"/>
          <w:lang w:val="en-US" w:eastAsia="zh-CN"/>
          <w14:textFill>
            <w14:solidFill>
              <w14:schemeClr w14:val="tx1"/>
            </w14:solidFill>
          </w14:textFill>
        </w:rPr>
        <w:t>1</w:t>
      </w:r>
      <w:r>
        <w:rPr>
          <w:rFonts w:hint="eastAsia" w:ascii="宋体" w:hAnsi="宋体" w:eastAsia="宋体" w:cs="宋体"/>
          <w:bCs/>
          <w:color w:val="000000" w:themeColor="text1"/>
          <w:sz w:val="22"/>
          <w:szCs w:val="22"/>
          <w:highlight w:val="none"/>
          <w:lang w:eastAsia="zh-CN"/>
          <w14:textFill>
            <w14:solidFill>
              <w14:schemeClr w14:val="tx1"/>
            </w14:solidFill>
          </w14:textFill>
        </w:rPr>
        <w:t>）</w:t>
      </w:r>
      <w:r>
        <w:rPr>
          <w:rFonts w:hint="eastAsia" w:ascii="宋体" w:hAnsi="宋体" w:eastAsia="宋体" w:cs="宋体"/>
          <w:bCs/>
          <w:color w:val="000000" w:themeColor="text1"/>
          <w:sz w:val="22"/>
          <w:szCs w:val="22"/>
          <w:highlight w:val="none"/>
          <w14:textFill>
            <w14:solidFill>
              <w14:schemeClr w14:val="tx1"/>
            </w14:solidFill>
          </w14:textFill>
        </w:rPr>
        <w:t>评审小组就供应商技术与商务部分进行报价，根据报价结果要求供应商给出最后报价，交由采购代理工作人员。</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40" w:firstLineChars="200"/>
        <w:textAlignment w:val="auto"/>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lang w:eastAsia="zh-CN"/>
          <w14:textFill>
            <w14:solidFill>
              <w14:schemeClr w14:val="tx1"/>
            </w14:solidFill>
          </w14:textFill>
        </w:rPr>
        <w:t>（</w:t>
      </w:r>
      <w:r>
        <w:rPr>
          <w:rFonts w:hint="eastAsia" w:ascii="宋体" w:hAnsi="宋体" w:eastAsia="宋体" w:cs="宋体"/>
          <w:bCs/>
          <w:color w:val="000000" w:themeColor="text1"/>
          <w:sz w:val="22"/>
          <w:szCs w:val="22"/>
          <w:highlight w:val="none"/>
          <w:lang w:val="en-US" w:eastAsia="zh-CN"/>
          <w14:textFill>
            <w14:solidFill>
              <w14:schemeClr w14:val="tx1"/>
            </w14:solidFill>
          </w14:textFill>
        </w:rPr>
        <w:t>2</w:t>
      </w:r>
      <w:r>
        <w:rPr>
          <w:rFonts w:hint="eastAsia" w:ascii="宋体" w:hAnsi="宋体" w:eastAsia="宋体" w:cs="宋体"/>
          <w:bCs/>
          <w:color w:val="000000" w:themeColor="text1"/>
          <w:sz w:val="22"/>
          <w:szCs w:val="22"/>
          <w:highlight w:val="none"/>
          <w:lang w:eastAsia="zh-CN"/>
          <w14:textFill>
            <w14:solidFill>
              <w14:schemeClr w14:val="tx1"/>
            </w14:solidFill>
          </w14:textFill>
        </w:rPr>
        <w:t>）</w:t>
      </w:r>
      <w:r>
        <w:rPr>
          <w:rFonts w:hint="eastAsia" w:ascii="宋体" w:hAnsi="宋体" w:eastAsia="宋体" w:cs="宋体"/>
          <w:bCs/>
          <w:color w:val="000000" w:themeColor="text1"/>
          <w:sz w:val="22"/>
          <w:szCs w:val="22"/>
          <w:highlight w:val="none"/>
          <w14:textFill>
            <w14:solidFill>
              <w14:schemeClr w14:val="tx1"/>
            </w14:solidFill>
          </w14:textFill>
        </w:rPr>
        <w:t>邀请供应商入场，唱读供应商最后报价。</w:t>
      </w:r>
      <w:r>
        <w:rPr>
          <w:rFonts w:hint="eastAsia" w:ascii="宋体" w:hAnsi="宋体" w:eastAsia="宋体" w:cs="宋体"/>
          <w:b/>
          <w:bCs/>
          <w:color w:val="000000" w:themeColor="text1"/>
          <w:sz w:val="22"/>
          <w:szCs w:val="22"/>
          <w:highlight w:val="none"/>
          <w14:textFill>
            <w14:solidFill>
              <w14:schemeClr w14:val="tx1"/>
            </w14:solidFill>
          </w14:textFill>
        </w:rPr>
        <w:t>唱读结束后，供应商代表应对唱读内容及记录结果当场进行校核和签字确认，如有异议应当场提出，否则视为默许同意。</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beforeAutospacing="0" w:afterAutospacing="0" w:line="360" w:lineRule="auto"/>
        <w:ind w:firstLine="442" w:firstLineChars="200"/>
        <w:textAlignment w:val="auto"/>
        <w:rPr>
          <w:rFonts w:hint="eastAsia" w:ascii="宋体" w:hAnsi="宋体" w:eastAsia="宋体" w:cs="宋体"/>
          <w:b/>
          <w:bCs/>
          <w:color w:val="000000" w:themeColor="text1"/>
          <w:sz w:val="22"/>
          <w:szCs w:val="22"/>
          <w:highlight w:val="none"/>
          <w:u w:val="single"/>
          <w14:textFill>
            <w14:solidFill>
              <w14:schemeClr w14:val="tx1"/>
            </w14:solidFill>
          </w14:textFill>
        </w:rPr>
      </w:pPr>
      <w:r>
        <w:rPr>
          <w:rFonts w:hint="eastAsia" w:ascii="宋体" w:hAnsi="宋体" w:eastAsia="宋体" w:cs="宋体"/>
          <w:b/>
          <w:bCs/>
          <w:color w:val="000000" w:themeColor="text1"/>
          <w:sz w:val="22"/>
          <w:szCs w:val="22"/>
          <w:highlight w:val="none"/>
          <w:u w:val="single"/>
          <w:lang w:val="en-US" w:eastAsia="zh-CN"/>
          <w14:textFill>
            <w14:solidFill>
              <w14:schemeClr w14:val="tx1"/>
            </w14:solidFill>
          </w14:textFill>
        </w:rPr>
        <w:t>3.4</w:t>
      </w:r>
      <w:r>
        <w:rPr>
          <w:rFonts w:hint="eastAsia" w:ascii="宋体" w:hAnsi="宋体" w:eastAsia="宋体" w:cs="宋体"/>
          <w:b/>
          <w:bCs/>
          <w:color w:val="000000" w:themeColor="text1"/>
          <w:sz w:val="22"/>
          <w:szCs w:val="22"/>
          <w:highlight w:val="none"/>
          <w:u w:val="single"/>
          <w14:textFill>
            <w14:solidFill>
              <w14:schemeClr w14:val="tx1"/>
            </w14:solidFill>
          </w14:textFill>
        </w:rPr>
        <w:t>▲在对供应商的单一来源响应文件进行综合评审时，单一来源响应文件有下列情况之一的，经评审小组认定后按无效标处理：</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360" w:lineRule="auto"/>
        <w:ind w:leftChars="0" w:firstLine="442" w:firstLineChars="200"/>
        <w:textAlignment w:val="auto"/>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单一来源响应文件未加盖单位公章、无法定代表人签字或其授权代表签字的；</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360" w:lineRule="auto"/>
        <w:ind w:leftChars="0" w:firstLine="442" w:firstLineChars="200"/>
        <w:textAlignment w:val="auto"/>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明显不符合单一来源采购文件中主要采购内容、采购要求的；</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360" w:lineRule="auto"/>
        <w:ind w:leftChars="0" w:firstLine="442" w:firstLineChars="200"/>
        <w:textAlignment w:val="auto"/>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单一来源响应文件内容不全或关键字迹模糊无法辨认的；</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360" w:lineRule="auto"/>
        <w:ind w:leftChars="0" w:firstLine="442" w:firstLineChars="200"/>
        <w:textAlignment w:val="auto"/>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单一来源响应文件附有采购人不能接受的条件；</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360" w:lineRule="auto"/>
        <w:ind w:leftChars="0" w:firstLine="442" w:firstLineChars="200"/>
        <w:textAlignment w:val="auto"/>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授权代表没有法定代表人合法、有效委托的；</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360" w:lineRule="auto"/>
        <w:ind w:leftChars="0" w:firstLine="442" w:firstLineChars="200"/>
        <w:textAlignment w:val="auto"/>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评审小组认定不符合法律、法规和单一来源采购文件中规定的其他实质性要求的；</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beforeAutospacing="0" w:afterAutospacing="0" w:line="360" w:lineRule="auto"/>
        <w:ind w:leftChars="0" w:firstLine="440" w:firstLineChars="200"/>
        <w:textAlignment w:val="auto"/>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3.5</w:t>
      </w:r>
      <w:r>
        <w:rPr>
          <w:rFonts w:hint="eastAsia" w:ascii="宋体" w:hAnsi="宋体" w:eastAsia="宋体" w:cs="宋体"/>
          <w:bCs/>
          <w:color w:val="000000" w:themeColor="text1"/>
          <w:sz w:val="22"/>
          <w:szCs w:val="22"/>
          <w:highlight w:val="none"/>
          <w14:textFill>
            <w14:solidFill>
              <w14:schemeClr w14:val="tx1"/>
            </w14:solidFill>
          </w14:textFill>
        </w:rPr>
        <w:t>评审小组对供应商的商务报价进行核查，核查时发现报价内容不清楚可要求供应商书面澄清，计算上的错误，可按下面方法修正：</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beforeAutospacing="0" w:afterAutospacing="0" w:line="360" w:lineRule="auto"/>
        <w:ind w:leftChars="0" w:firstLine="440" w:firstLineChars="200"/>
        <w:textAlignment w:val="auto"/>
        <w:rPr>
          <w:rFonts w:hint="eastAsia" w:ascii="宋体" w:hAnsi="宋体" w:eastAsia="宋体" w:cs="宋体"/>
          <w:color w:val="000000" w:themeColor="text1"/>
          <w:spacing w:val="-4"/>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lang w:eastAsia="zh-CN"/>
          <w14:textFill>
            <w14:solidFill>
              <w14:schemeClr w14:val="tx1"/>
            </w14:solidFill>
          </w14:textFill>
        </w:rPr>
        <w:t>（</w:t>
      </w:r>
      <w:r>
        <w:rPr>
          <w:rFonts w:hint="eastAsia" w:ascii="宋体" w:hAnsi="宋体" w:eastAsia="宋体" w:cs="宋体"/>
          <w:bCs/>
          <w:color w:val="000000" w:themeColor="text1"/>
          <w:sz w:val="22"/>
          <w:szCs w:val="22"/>
          <w:highlight w:val="none"/>
          <w:lang w:val="en-US" w:eastAsia="zh-CN"/>
          <w14:textFill>
            <w14:solidFill>
              <w14:schemeClr w14:val="tx1"/>
            </w14:solidFill>
          </w14:textFill>
        </w:rPr>
        <w:t>1</w:t>
      </w:r>
      <w:r>
        <w:rPr>
          <w:rFonts w:hint="eastAsia" w:ascii="宋体" w:hAnsi="宋体" w:eastAsia="宋体" w:cs="宋体"/>
          <w:bCs/>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pacing w:val="-4"/>
          <w:sz w:val="22"/>
          <w:szCs w:val="22"/>
          <w:highlight w:val="none"/>
          <w14:textFill>
            <w14:solidFill>
              <w14:schemeClr w14:val="tx1"/>
            </w14:solidFill>
          </w14:textFill>
        </w:rPr>
        <w:t>单一来源响应文件的大写金额与小写金额不一致时以大写金额为准。总价金额与按单价汇总金额不一致的，以单价金额计算结果为准，单价金额小数点有明显错位的，应以总价为准，并修正单价。</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firstLine="424" w:firstLineChars="200"/>
        <w:textAlignment w:val="auto"/>
        <w:rPr>
          <w:rFonts w:hint="eastAsia" w:ascii="宋体" w:hAnsi="宋体" w:eastAsia="宋体" w:cs="宋体"/>
          <w:color w:val="000000" w:themeColor="text1"/>
          <w:spacing w:val="-4"/>
          <w:sz w:val="22"/>
          <w:szCs w:val="22"/>
          <w:highlight w:val="none"/>
          <w14:textFill>
            <w14:solidFill>
              <w14:schemeClr w14:val="tx1"/>
            </w14:solidFill>
          </w14:textFill>
        </w:rPr>
      </w:pPr>
      <w:r>
        <w:rPr>
          <w:rFonts w:hint="eastAsia" w:ascii="宋体" w:hAnsi="宋体" w:eastAsia="宋体" w:cs="宋体"/>
          <w:color w:val="000000" w:themeColor="text1"/>
          <w:spacing w:val="-4"/>
          <w:sz w:val="22"/>
          <w:szCs w:val="22"/>
          <w:highlight w:val="none"/>
          <w:lang w:eastAsia="zh-CN"/>
          <w14:textFill>
            <w14:solidFill>
              <w14:schemeClr w14:val="tx1"/>
            </w14:solidFill>
          </w14:textFill>
        </w:rPr>
        <w:t>（</w:t>
      </w:r>
      <w:r>
        <w:rPr>
          <w:rFonts w:hint="eastAsia" w:ascii="宋体" w:hAnsi="宋体" w:eastAsia="宋体" w:cs="宋体"/>
          <w:color w:val="000000" w:themeColor="text1"/>
          <w:spacing w:val="-4"/>
          <w:sz w:val="22"/>
          <w:szCs w:val="22"/>
          <w:highlight w:val="none"/>
          <w:lang w:val="en-US" w:eastAsia="zh-CN"/>
          <w14:textFill>
            <w14:solidFill>
              <w14:schemeClr w14:val="tx1"/>
            </w14:solidFill>
          </w14:textFill>
        </w:rPr>
        <w:t>2</w:t>
      </w:r>
      <w:r>
        <w:rPr>
          <w:rFonts w:hint="eastAsia" w:ascii="宋体" w:hAnsi="宋体" w:eastAsia="宋体" w:cs="宋体"/>
          <w:color w:val="000000" w:themeColor="text1"/>
          <w:spacing w:val="-4"/>
          <w:sz w:val="22"/>
          <w:szCs w:val="22"/>
          <w:highlight w:val="none"/>
          <w:lang w:eastAsia="zh-CN"/>
          <w14:textFill>
            <w14:solidFill>
              <w14:schemeClr w14:val="tx1"/>
            </w14:solidFill>
          </w14:textFill>
        </w:rPr>
        <w:t>）</w:t>
      </w:r>
      <w:r>
        <w:rPr>
          <w:rFonts w:hint="eastAsia" w:ascii="宋体" w:hAnsi="宋体" w:eastAsia="宋体" w:cs="宋体"/>
          <w:color w:val="000000" w:themeColor="text1"/>
          <w:spacing w:val="-4"/>
          <w:sz w:val="22"/>
          <w:szCs w:val="22"/>
          <w:highlight w:val="none"/>
          <w14:textFill>
            <w14:solidFill>
              <w14:schemeClr w14:val="tx1"/>
            </w14:solidFill>
          </w14:textFill>
        </w:rPr>
        <w:t>如果供应商不接受对其价格错误进行修正，其报价将被拒绝。</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beforeAutospacing="0" w:afterAutospacing="0" w:line="360" w:lineRule="auto"/>
        <w:ind w:firstLine="440" w:firstLineChars="200"/>
        <w:textAlignment w:val="auto"/>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3.6</w:t>
      </w:r>
      <w:r>
        <w:rPr>
          <w:rFonts w:hint="eastAsia" w:ascii="宋体" w:hAnsi="宋体" w:eastAsia="宋体" w:cs="宋体"/>
          <w:bCs/>
          <w:color w:val="000000" w:themeColor="text1"/>
          <w:sz w:val="22"/>
          <w:szCs w:val="22"/>
          <w:highlight w:val="none"/>
          <w14:textFill>
            <w14:solidFill>
              <w14:schemeClr w14:val="tx1"/>
            </w14:solidFill>
          </w14:textFill>
        </w:rPr>
        <w:t>在详细评标之前，评审小组要审查单一来源响应文件是否实质上响应了单一来源采购文件的要求。实质上响应的报价应该是与单一来源采购文件要求的全部条款、条件和规格基本相符，没有重大偏离。</w:t>
      </w:r>
      <w:r>
        <w:rPr>
          <w:rFonts w:hint="eastAsia" w:ascii="宋体" w:hAnsi="宋体" w:eastAsia="宋体" w:cs="宋体"/>
          <w:b/>
          <w:bCs/>
          <w:color w:val="000000" w:themeColor="text1"/>
          <w:sz w:val="22"/>
          <w:szCs w:val="22"/>
          <w:highlight w:val="none"/>
          <w14:textFill>
            <w14:solidFill>
              <w14:schemeClr w14:val="tx1"/>
            </w14:solidFill>
          </w14:textFill>
        </w:rPr>
        <w:t>评审小组决定报价的响应性只根据单一来源响应文件本身的内容，而不寻求外部的证据。</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beforeAutospacing="0" w:afterAutospacing="0" w:line="360" w:lineRule="auto"/>
        <w:ind w:leftChars="0" w:firstLine="440" w:firstLineChars="200"/>
        <w:textAlignment w:val="auto"/>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3.7</w:t>
      </w:r>
      <w:r>
        <w:rPr>
          <w:rFonts w:hint="eastAsia" w:ascii="宋体" w:hAnsi="宋体" w:eastAsia="宋体" w:cs="宋体"/>
          <w:bCs/>
          <w:color w:val="000000" w:themeColor="text1"/>
          <w:sz w:val="22"/>
          <w:szCs w:val="22"/>
          <w:highlight w:val="none"/>
          <w14:textFill>
            <w14:solidFill>
              <w14:schemeClr w14:val="tx1"/>
            </w14:solidFill>
          </w14:textFill>
        </w:rPr>
        <w:t>实质上没有响应单一来源采购文件要求的报价将被拒绝，供应商不得通过修正或撤消不合要求的偏离或保留从而使其报价成为实质上响应的报价。</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beforeAutospacing="0" w:afterAutospacing="0" w:line="360" w:lineRule="auto"/>
        <w:ind w:leftChars="0" w:firstLine="440" w:firstLineChars="200"/>
        <w:textAlignment w:val="auto"/>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3.8</w:t>
      </w:r>
      <w:r>
        <w:rPr>
          <w:rFonts w:hint="eastAsia" w:ascii="宋体" w:hAnsi="宋体" w:eastAsia="宋体" w:cs="宋体"/>
          <w:bCs/>
          <w:color w:val="000000" w:themeColor="text1"/>
          <w:sz w:val="22"/>
          <w:szCs w:val="22"/>
          <w:highlight w:val="none"/>
          <w14:textFill>
            <w14:solidFill>
              <w14:schemeClr w14:val="tx1"/>
            </w14:solidFill>
          </w14:textFill>
        </w:rPr>
        <w:t>评标过程中遇到特殊情况，由评审小组遵循公开、公正原则，采取投票方式按照少数服从多数原则决定。</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4.</w:t>
      </w:r>
      <w:r>
        <w:rPr>
          <w:rFonts w:hint="eastAsia" w:ascii="宋体" w:hAnsi="宋体" w:eastAsia="宋体" w:cs="宋体"/>
          <w:bCs/>
          <w:color w:val="000000" w:themeColor="text1"/>
          <w:sz w:val="22"/>
          <w:szCs w:val="22"/>
          <w:highlight w:val="none"/>
          <w14:textFill>
            <w14:solidFill>
              <w14:schemeClr w14:val="tx1"/>
            </w14:solidFill>
          </w14:textFill>
        </w:rPr>
        <w:t>单一来源响应文件的澄清</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beforeAutospacing="0" w:afterAutospacing="0" w:line="360" w:lineRule="auto"/>
        <w:ind w:leftChars="0"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4.1</w:t>
      </w:r>
      <w:r>
        <w:rPr>
          <w:rFonts w:hint="eastAsia" w:ascii="宋体" w:hAnsi="宋体" w:eastAsia="宋体" w:cs="宋体"/>
          <w:bCs/>
          <w:color w:val="000000" w:themeColor="text1"/>
          <w:sz w:val="22"/>
          <w:szCs w:val="22"/>
          <w:highlight w:val="none"/>
          <w14:textFill>
            <w14:solidFill>
              <w14:schemeClr w14:val="tx1"/>
            </w14:solidFill>
          </w14:textFill>
        </w:rPr>
        <w:t>在评标期间，评审小组可以书面方式要求供应商对单一来源响应文件中含义不明确、对同类问题表述不一致或者有明显文字和计算错误的内容作必要的澄清、说明或补正。澄清、说明或补正应以书面形式并由授权代表签署，但澄清内容不得超出单一来源响应文件的范围或者改变单一来源响应文件的实质性内容。拒不按要求对其单一来源响应文件进行澄清，说明或补正的供应商，评审小组可以否决其报价。</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beforeAutospacing="0" w:afterAutospacing="0" w:line="360" w:lineRule="auto"/>
        <w:ind w:leftChars="0"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4.2</w:t>
      </w:r>
      <w:r>
        <w:rPr>
          <w:rFonts w:hint="eastAsia" w:ascii="宋体" w:hAnsi="宋体" w:eastAsia="宋体" w:cs="宋体"/>
          <w:color w:val="000000" w:themeColor="text1"/>
          <w:sz w:val="22"/>
          <w:szCs w:val="22"/>
          <w:highlight w:val="none"/>
          <w14:textFill>
            <w14:solidFill>
              <w14:schemeClr w14:val="tx1"/>
            </w14:solidFill>
          </w14:textFill>
        </w:rPr>
        <w:t>经澄清后，若偏差仍存在，且不可接受，供应商则被认为是“没有实质性响应单一来源采购文件要求”，其报价不进入下一步评审。</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5.</w:t>
      </w:r>
      <w:r>
        <w:rPr>
          <w:rFonts w:hint="eastAsia" w:ascii="宋体" w:hAnsi="宋体" w:eastAsia="宋体" w:cs="宋体"/>
          <w:bCs/>
          <w:color w:val="000000" w:themeColor="text1"/>
          <w:sz w:val="22"/>
          <w:szCs w:val="22"/>
          <w:highlight w:val="none"/>
          <w14:textFill>
            <w14:solidFill>
              <w14:schemeClr w14:val="tx1"/>
            </w14:solidFill>
          </w14:textFill>
        </w:rPr>
        <w:t>确定中标候选人</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beforeAutospacing="0" w:afterAutospacing="0" w:line="360" w:lineRule="auto"/>
        <w:ind w:leftChars="0"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5.1</w:t>
      </w:r>
      <w:r>
        <w:rPr>
          <w:rFonts w:hint="eastAsia" w:ascii="宋体" w:hAnsi="宋体" w:eastAsia="宋体" w:cs="宋体"/>
          <w:color w:val="000000" w:themeColor="text1"/>
          <w:sz w:val="22"/>
          <w:szCs w:val="22"/>
          <w:highlight w:val="none"/>
          <w14:textFill>
            <w14:solidFill>
              <w14:schemeClr w14:val="tx1"/>
            </w14:solidFill>
          </w14:textFill>
        </w:rPr>
        <w:t>本次采购由评审小组依据法律、法规及单一来源采购文件有关规定，在保证采购项目质量和双方商定合理价格的基础上推荐成交供应商，采购人根据评审小组的推荐结果进行最终确认。</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beforeAutospacing="0" w:afterAutospacing="0" w:line="360" w:lineRule="auto"/>
        <w:ind w:leftChars="0"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5.2</w:t>
      </w:r>
      <w:r>
        <w:rPr>
          <w:rFonts w:hint="eastAsia" w:ascii="宋体" w:hAnsi="宋体" w:eastAsia="宋体" w:cs="宋体"/>
          <w:color w:val="000000" w:themeColor="text1"/>
          <w:sz w:val="22"/>
          <w:szCs w:val="22"/>
          <w:highlight w:val="none"/>
          <w14:textFill>
            <w14:solidFill>
              <w14:schemeClr w14:val="tx1"/>
            </w14:solidFill>
          </w14:textFill>
        </w:rPr>
        <w:t>采购人对决标结果不做任何解释。</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6.</w:t>
      </w:r>
      <w:r>
        <w:rPr>
          <w:rFonts w:hint="eastAsia" w:ascii="宋体" w:hAnsi="宋体" w:eastAsia="宋体" w:cs="宋体"/>
          <w:bCs/>
          <w:color w:val="000000" w:themeColor="text1"/>
          <w:sz w:val="22"/>
          <w:szCs w:val="22"/>
          <w:highlight w:val="none"/>
          <w14:textFill>
            <w14:solidFill>
              <w14:schemeClr w14:val="tx1"/>
            </w14:solidFill>
          </w14:textFill>
        </w:rPr>
        <w:t>评标细则详见“评标原则及方法”。</w:t>
      </w:r>
    </w:p>
    <w:p>
      <w:pPr>
        <w:keepNext w:val="0"/>
        <w:keepLines w:val="0"/>
        <w:pageBreakBefore w:val="0"/>
        <w:widowControl w:val="0"/>
        <w:kinsoku/>
        <w:wordWrap/>
        <w:overflowPunct/>
        <w:topLinePunct w:val="0"/>
        <w:autoSpaceDE/>
        <w:autoSpaceDN/>
        <w:bidi w:val="0"/>
        <w:adjustRightInd/>
        <w:snapToGrid/>
        <w:spacing w:before="200" w:beforeAutospacing="0" w:after="200" w:afterAutospacing="0" w:line="240" w:lineRule="auto"/>
        <w:ind w:left="-6"/>
        <w:jc w:val="center"/>
        <w:textAlignment w:val="auto"/>
        <w:outlineLvl w:val="0"/>
        <w:rPr>
          <w:rFonts w:hint="eastAsia" w:ascii="宋体" w:hAnsi="宋体" w:eastAsia="宋体" w:cs="宋体"/>
          <w:bCs/>
          <w:color w:val="000000" w:themeColor="text1"/>
          <w:sz w:val="24"/>
          <w:szCs w:val="24"/>
          <w:highlight w:val="none"/>
          <w14:textFill>
            <w14:solidFill>
              <w14:schemeClr w14:val="tx1"/>
            </w14:solidFill>
          </w14:textFill>
        </w:rPr>
      </w:pPr>
      <w:bookmarkStart w:id="122" w:name="_Toc49175239"/>
      <w:bookmarkStart w:id="123" w:name="_Toc221374628"/>
      <w:bookmarkStart w:id="124" w:name="_Toc249758866"/>
      <w:bookmarkStart w:id="125" w:name="_Toc241404204"/>
      <w:bookmarkStart w:id="126" w:name="_Toc246261267"/>
      <w:bookmarkStart w:id="127" w:name="_Toc245191316"/>
      <w:bookmarkStart w:id="128" w:name="_Toc245722283"/>
      <w:bookmarkStart w:id="129" w:name="_Toc221423621"/>
      <w:bookmarkStart w:id="130" w:name="_Toc249758714"/>
      <w:bookmarkStart w:id="131" w:name="_Toc223716000"/>
      <w:bookmarkStart w:id="132" w:name="_Toc262049420"/>
      <w:bookmarkStart w:id="133" w:name="_Toc222114881"/>
      <w:bookmarkStart w:id="134" w:name="_Toc42868124"/>
      <w:bookmarkStart w:id="135" w:name="_Toc239145356"/>
      <w:bookmarkStart w:id="136" w:name="_Toc262105505"/>
      <w:bookmarkStart w:id="137" w:name="_Toc221356953"/>
      <w:bookmarkStart w:id="138" w:name="_Toc221356889"/>
      <w:r>
        <w:rPr>
          <w:rFonts w:hint="eastAsia" w:ascii="宋体" w:hAnsi="宋体" w:eastAsia="宋体" w:cs="宋体"/>
          <w:bCs/>
          <w:color w:val="000000" w:themeColor="text1"/>
          <w:sz w:val="24"/>
          <w:szCs w:val="24"/>
          <w:highlight w:val="none"/>
          <w14:textFill>
            <w14:solidFill>
              <w14:schemeClr w14:val="tx1"/>
            </w14:solidFill>
          </w14:textFill>
        </w:rPr>
        <w:t>六、授予合同</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1.</w:t>
      </w:r>
      <w:r>
        <w:rPr>
          <w:rFonts w:hint="eastAsia" w:ascii="宋体" w:hAnsi="宋体" w:eastAsia="宋体" w:cs="宋体"/>
          <w:bCs/>
          <w:color w:val="000000" w:themeColor="text1"/>
          <w:sz w:val="22"/>
          <w:szCs w:val="22"/>
          <w:highlight w:val="none"/>
          <w14:textFill>
            <w14:solidFill>
              <w14:schemeClr w14:val="tx1"/>
            </w14:solidFill>
          </w14:textFill>
        </w:rPr>
        <w:t>评审小组确定的中标候选人经</w:t>
      </w:r>
      <w:r>
        <w:rPr>
          <w:rFonts w:hint="eastAsia" w:ascii="宋体" w:hAnsi="宋体" w:eastAsia="宋体" w:cs="宋体"/>
          <w:color w:val="000000" w:themeColor="text1"/>
          <w:sz w:val="22"/>
          <w:szCs w:val="22"/>
          <w:highlight w:val="none"/>
          <w14:textFill>
            <w14:solidFill>
              <w14:schemeClr w14:val="tx1"/>
            </w14:solidFill>
          </w14:textFill>
        </w:rPr>
        <w:t>采购人</w:t>
      </w:r>
      <w:r>
        <w:rPr>
          <w:rFonts w:hint="eastAsia" w:ascii="宋体" w:hAnsi="宋体" w:eastAsia="宋体" w:cs="宋体"/>
          <w:bCs/>
          <w:color w:val="000000" w:themeColor="text1"/>
          <w:sz w:val="22"/>
          <w:szCs w:val="22"/>
          <w:highlight w:val="none"/>
          <w14:textFill>
            <w14:solidFill>
              <w14:schemeClr w14:val="tx1"/>
            </w14:solidFill>
          </w14:textFill>
        </w:rPr>
        <w:t>审查合格后在</w:t>
      </w:r>
      <w:r>
        <w:rPr>
          <w:rFonts w:hint="eastAsia" w:ascii="宋体" w:hAnsi="宋体" w:eastAsia="宋体" w:cs="宋体"/>
          <w:bCs/>
          <w:color w:val="000000" w:themeColor="text1"/>
          <w:sz w:val="22"/>
          <w:szCs w:val="22"/>
          <w:highlight w:val="none"/>
          <w:lang w:val="en-US" w:eastAsia="zh-CN"/>
          <w14:textFill>
            <w14:solidFill>
              <w14:schemeClr w14:val="tx1"/>
            </w14:solidFill>
          </w14:textFill>
        </w:rPr>
        <w:t>浙江政府采购网、</w:t>
      </w:r>
      <w:r>
        <w:rPr>
          <w:rFonts w:hint="eastAsia" w:ascii="宋体" w:hAnsi="宋体" w:eastAsia="宋体" w:cs="宋体"/>
          <w:sz w:val="22"/>
          <w:szCs w:val="22"/>
          <w:highlight w:val="none"/>
        </w:rPr>
        <w:fldChar w:fldCharType="begin"/>
      </w:r>
      <w:r>
        <w:rPr>
          <w:rFonts w:hint="eastAsia" w:ascii="宋体" w:hAnsi="宋体" w:eastAsia="宋体" w:cs="宋体"/>
          <w:sz w:val="22"/>
          <w:szCs w:val="22"/>
          <w:highlight w:val="none"/>
        </w:rPr>
        <w:instrText xml:space="preserve"> HYPERLINK "https://www.baidu.com/link?url=6gIRVBwfy1BF4XOreL-IIxOou8WUIQFo1z_JMc3A-65CitJKD2EWrjtR4jjKTFhP&amp;wd=&amp;eqid=ddef928200021e19000000065b0f8e3d" \t "https://www.baidu.com/_blank" </w:instrText>
      </w:r>
      <w:r>
        <w:rPr>
          <w:rFonts w:hint="eastAsia" w:ascii="宋体" w:hAnsi="宋体" w:eastAsia="宋体" w:cs="宋体"/>
          <w:sz w:val="22"/>
          <w:szCs w:val="22"/>
          <w:highlight w:val="none"/>
        </w:rPr>
        <w:fldChar w:fldCharType="separate"/>
      </w:r>
      <w:r>
        <w:rPr>
          <w:rFonts w:hint="eastAsia" w:ascii="宋体" w:hAnsi="宋体" w:eastAsia="宋体" w:cs="宋体"/>
          <w:color w:val="000000" w:themeColor="text1"/>
          <w:sz w:val="22"/>
          <w:szCs w:val="22"/>
          <w:highlight w:val="none"/>
          <w14:textFill>
            <w14:solidFill>
              <w14:schemeClr w14:val="tx1"/>
            </w14:solidFill>
          </w14:textFill>
        </w:rPr>
        <w:t>温州国企采购平台</w:t>
      </w:r>
      <w:r>
        <w:rPr>
          <w:rFonts w:hint="eastAsia" w:ascii="宋体" w:hAnsi="宋体" w:eastAsia="宋体" w:cs="宋体"/>
          <w:color w:val="000000" w:themeColor="text1"/>
          <w:sz w:val="22"/>
          <w:szCs w:val="22"/>
          <w:highlight w:val="none"/>
          <w14:textFill>
            <w14:solidFill>
              <w14:schemeClr w14:val="tx1"/>
            </w14:solidFill>
          </w14:textFill>
        </w:rPr>
        <w:fldChar w:fldCharType="end"/>
      </w:r>
      <w:r>
        <w:rPr>
          <w:rFonts w:hint="eastAsia" w:ascii="宋体" w:hAnsi="宋体" w:eastAsia="宋体" w:cs="宋体"/>
          <w:color w:val="000000" w:themeColor="text1"/>
          <w:sz w:val="22"/>
          <w:szCs w:val="22"/>
          <w:highlight w:val="none"/>
          <w:lang w:eastAsia="zh-CN"/>
          <w14:textFill>
            <w14:solidFill>
              <w14:schemeClr w14:val="tx1"/>
            </w14:solidFill>
          </w14:textFill>
        </w:rPr>
        <w:t>、温州市现代服务业发展集团有限公司网、浙江东方职业技术学院网</w:t>
      </w:r>
      <w:r>
        <w:rPr>
          <w:rFonts w:hint="eastAsia" w:ascii="宋体" w:hAnsi="宋体" w:eastAsia="宋体" w:cs="宋体"/>
          <w:color w:val="000000" w:themeColor="text1"/>
          <w:sz w:val="22"/>
          <w:szCs w:val="22"/>
          <w:highlight w:val="none"/>
          <w14:textFill>
            <w14:solidFill>
              <w14:schemeClr w14:val="tx1"/>
            </w14:solidFill>
          </w14:textFill>
        </w:rPr>
        <w:t>站</w:t>
      </w:r>
      <w:r>
        <w:rPr>
          <w:rFonts w:hint="eastAsia" w:ascii="宋体" w:hAnsi="宋体" w:eastAsia="宋体" w:cs="宋体"/>
          <w:bCs/>
          <w:color w:val="000000" w:themeColor="text1"/>
          <w:sz w:val="22"/>
          <w:szCs w:val="22"/>
          <w:highlight w:val="none"/>
          <w14:textFill>
            <w14:solidFill>
              <w14:schemeClr w14:val="tx1"/>
            </w14:solidFill>
          </w14:textFill>
        </w:rPr>
        <w:t>上公示，公示期结束后，采购人将根据评审小组提交的书面评标报告和评审结果最后确定成交供应商。</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2.</w:t>
      </w:r>
      <w:r>
        <w:rPr>
          <w:rFonts w:hint="eastAsia" w:ascii="宋体" w:hAnsi="宋体" w:eastAsia="宋体" w:cs="宋体"/>
          <w:bCs/>
          <w:color w:val="000000" w:themeColor="text1"/>
          <w:sz w:val="22"/>
          <w:szCs w:val="22"/>
          <w:highlight w:val="none"/>
          <w14:textFill>
            <w14:solidFill>
              <w14:schemeClr w14:val="tx1"/>
            </w14:solidFill>
          </w14:textFill>
        </w:rPr>
        <w:t>中标通知书</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beforeAutospacing="0" w:afterAutospacing="0" w:line="360" w:lineRule="auto"/>
        <w:ind w:leftChars="0"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2.1</w:t>
      </w:r>
      <w:r>
        <w:rPr>
          <w:rFonts w:hint="eastAsia" w:ascii="宋体" w:hAnsi="宋体" w:eastAsia="宋体" w:cs="宋体"/>
          <w:bCs/>
          <w:color w:val="000000" w:themeColor="text1"/>
          <w:sz w:val="22"/>
          <w:szCs w:val="22"/>
          <w:highlight w:val="none"/>
          <w14:textFill>
            <w14:solidFill>
              <w14:schemeClr w14:val="tx1"/>
            </w14:solidFill>
          </w14:textFill>
        </w:rPr>
        <w:t>成交供应商确定后，</w:t>
      </w:r>
      <w:r>
        <w:rPr>
          <w:rFonts w:hint="eastAsia" w:ascii="宋体" w:hAnsi="宋体" w:eastAsia="宋体" w:cs="宋体"/>
          <w:color w:val="000000" w:themeColor="text1"/>
          <w:sz w:val="22"/>
          <w:szCs w:val="22"/>
          <w:highlight w:val="none"/>
          <w14:textFill>
            <w14:solidFill>
              <w14:schemeClr w14:val="tx1"/>
            </w14:solidFill>
          </w14:textFill>
        </w:rPr>
        <w:t>采购人</w:t>
      </w:r>
      <w:r>
        <w:rPr>
          <w:rFonts w:hint="eastAsia" w:ascii="宋体" w:hAnsi="宋体" w:eastAsia="宋体" w:cs="宋体"/>
          <w:bCs/>
          <w:color w:val="000000" w:themeColor="text1"/>
          <w:sz w:val="22"/>
          <w:szCs w:val="22"/>
          <w:highlight w:val="none"/>
          <w14:textFill>
            <w14:solidFill>
              <w14:schemeClr w14:val="tx1"/>
            </w14:solidFill>
          </w14:textFill>
        </w:rPr>
        <w:t xml:space="preserve">将向成交供应商发出中标通知书。 </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beforeAutospacing="0" w:afterAutospacing="0" w:line="360" w:lineRule="auto"/>
        <w:ind w:leftChars="0"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2.2</w:t>
      </w:r>
      <w:r>
        <w:rPr>
          <w:rFonts w:hint="eastAsia" w:ascii="宋体" w:hAnsi="宋体" w:eastAsia="宋体" w:cs="宋体"/>
          <w:color w:val="000000" w:themeColor="text1"/>
          <w:sz w:val="22"/>
          <w:szCs w:val="22"/>
          <w:highlight w:val="none"/>
          <w14:textFill>
            <w14:solidFill>
              <w14:schemeClr w14:val="tx1"/>
            </w14:solidFill>
          </w14:textFill>
        </w:rPr>
        <w:t>中标通知书是合同的一个组成部分,对采购人和成交供应商均具有同等法律效力。</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3.</w:t>
      </w:r>
      <w:r>
        <w:rPr>
          <w:rFonts w:hint="eastAsia" w:ascii="宋体" w:hAnsi="宋体" w:eastAsia="宋体" w:cs="宋体"/>
          <w:bCs/>
          <w:color w:val="000000" w:themeColor="text1"/>
          <w:sz w:val="22"/>
          <w:szCs w:val="22"/>
          <w:highlight w:val="none"/>
          <w14:textFill>
            <w14:solidFill>
              <w14:schemeClr w14:val="tx1"/>
            </w14:solidFill>
          </w14:textFill>
        </w:rPr>
        <w:t>签订合同</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beforeAutospacing="0" w:afterAutospacing="0" w:line="360" w:lineRule="auto"/>
        <w:ind w:leftChars="0" w:firstLine="440" w:firstLineChars="200"/>
        <w:textAlignment w:val="auto"/>
        <w:rPr>
          <w:rFonts w:hint="eastAsia" w:ascii="宋体" w:hAnsi="宋体" w:eastAsia="宋体" w:cs="宋体"/>
          <w:color w:val="000000" w:themeColor="text1"/>
          <w:spacing w:val="6"/>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3.1</w:t>
      </w:r>
      <w:r>
        <w:rPr>
          <w:rFonts w:hint="eastAsia" w:ascii="宋体" w:hAnsi="宋体" w:eastAsia="宋体" w:cs="宋体"/>
          <w:color w:val="000000" w:themeColor="text1"/>
          <w:sz w:val="22"/>
          <w:szCs w:val="22"/>
          <w:highlight w:val="none"/>
          <w14:textFill>
            <w14:solidFill>
              <w14:schemeClr w14:val="tx1"/>
            </w14:solidFill>
          </w14:textFill>
        </w:rPr>
        <w:t>成交供应商须在中标通知书规定的时间内与采购人签订合同。</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beforeAutospacing="0" w:afterAutospacing="0" w:line="360" w:lineRule="auto"/>
        <w:ind w:leftChars="0" w:firstLine="464"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pacing w:val="6"/>
          <w:sz w:val="22"/>
          <w:szCs w:val="22"/>
          <w:highlight w:val="none"/>
          <w:lang w:val="en-US" w:eastAsia="zh-CN"/>
          <w14:textFill>
            <w14:solidFill>
              <w14:schemeClr w14:val="tx1"/>
            </w14:solidFill>
          </w14:textFill>
        </w:rPr>
        <w:t>3.2</w:t>
      </w:r>
      <w:r>
        <w:rPr>
          <w:rFonts w:hint="eastAsia" w:ascii="宋体" w:hAnsi="宋体" w:eastAsia="宋体" w:cs="宋体"/>
          <w:color w:val="000000" w:themeColor="text1"/>
          <w:spacing w:val="6"/>
          <w:sz w:val="22"/>
          <w:szCs w:val="22"/>
          <w:highlight w:val="none"/>
          <w14:textFill>
            <w14:solidFill>
              <w14:schemeClr w14:val="tx1"/>
            </w14:solidFill>
          </w14:textFill>
        </w:rPr>
        <w:t>在签订合同前，采购人有权在中标总价不变的前提下要求成交供应商对商务报价中的不平衡报价和缺漏项进行调整，如果成交供应商无合理理由拒绝调整，其中标资格将被取消，且将导致其它进一步的赔偿和处罚。</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beforeAutospacing="0" w:afterAutospacing="0" w:line="360" w:lineRule="auto"/>
        <w:ind w:leftChars="0"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3.3</w:t>
      </w:r>
      <w:r>
        <w:rPr>
          <w:rFonts w:hint="eastAsia" w:ascii="宋体" w:hAnsi="宋体" w:eastAsia="宋体" w:cs="宋体"/>
          <w:color w:val="000000" w:themeColor="text1"/>
          <w:sz w:val="22"/>
          <w:szCs w:val="22"/>
          <w:highlight w:val="none"/>
          <w14:textFill>
            <w14:solidFill>
              <w14:schemeClr w14:val="tx1"/>
            </w14:solidFill>
          </w14:textFill>
        </w:rPr>
        <w:t>单一来源采购文件、成交供应商的单一来源响应文件、报价修改文件、评标过程中有关澄清文件及经供应商和评委双方签字的询标纪要和中标通知书均作为合同附件。</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beforeAutospacing="0" w:afterAutospacing="0" w:line="360" w:lineRule="auto"/>
        <w:ind w:leftChars="0"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3.4</w:t>
      </w:r>
      <w:r>
        <w:rPr>
          <w:rFonts w:hint="eastAsia" w:ascii="宋体" w:hAnsi="宋体" w:eastAsia="宋体" w:cs="宋体"/>
          <w:color w:val="000000" w:themeColor="text1"/>
          <w:sz w:val="22"/>
          <w:szCs w:val="22"/>
          <w:highlight w:val="none"/>
          <w14:textFill>
            <w14:solidFill>
              <w14:schemeClr w14:val="tx1"/>
            </w14:solidFill>
          </w14:textFill>
        </w:rPr>
        <w:t>拒签合同的违约责任</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40" w:firstLineChars="200"/>
        <w:textAlignment w:val="auto"/>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成交供应商接到中标通知书后，在规定时间内借故否认已经承诺的条件而拒签合同的，以违约处理。</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beforeAutospacing="0" w:afterAutospacing="0" w:line="360" w:lineRule="auto"/>
        <w:ind w:leftChars="0" w:firstLine="442" w:firstLineChars="200"/>
        <w:textAlignment w:val="auto"/>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lang w:val="en-US" w:eastAsia="zh-CN"/>
          <w14:textFill>
            <w14:solidFill>
              <w14:schemeClr w14:val="tx1"/>
            </w14:solidFill>
          </w14:textFill>
        </w:rPr>
        <w:t>3.5</w:t>
      </w:r>
      <w:r>
        <w:rPr>
          <w:rFonts w:hint="eastAsia" w:ascii="宋体" w:hAnsi="宋体" w:eastAsia="宋体" w:cs="宋体"/>
          <w:b/>
          <w:color w:val="000000" w:themeColor="text1"/>
          <w:sz w:val="22"/>
          <w:szCs w:val="22"/>
          <w:highlight w:val="none"/>
          <w14:textFill>
            <w14:solidFill>
              <w14:schemeClr w14:val="tx1"/>
            </w14:solidFill>
          </w14:textFill>
        </w:rPr>
        <w:t>成交供应商应在合同签订后2日历天内将合同扫描件电子版发给采购代理机构邮箱：zhejiangchuangjia@126.com。</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4.</w:t>
      </w:r>
      <w:r>
        <w:rPr>
          <w:rFonts w:hint="eastAsia" w:ascii="宋体" w:hAnsi="宋体" w:eastAsia="宋体" w:cs="宋体"/>
          <w:color w:val="000000" w:themeColor="text1"/>
          <w:sz w:val="22"/>
          <w:szCs w:val="22"/>
          <w:highlight w:val="none"/>
          <w14:textFill>
            <w14:solidFill>
              <w14:schemeClr w14:val="tx1"/>
            </w14:solidFill>
          </w14:textFill>
        </w:rPr>
        <w:t>履约保证金</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beforeAutospacing="0" w:afterAutospacing="0" w:line="360" w:lineRule="auto"/>
        <w:ind w:leftChars="0" w:firstLine="464" w:firstLineChars="200"/>
        <w:textAlignment w:val="auto"/>
        <w:rPr>
          <w:rFonts w:hint="eastAsia" w:ascii="宋体" w:hAnsi="宋体" w:eastAsia="宋体" w:cs="宋体"/>
          <w:color w:val="000000" w:themeColor="text1"/>
          <w:spacing w:val="6"/>
          <w:sz w:val="22"/>
          <w:szCs w:val="22"/>
          <w:highlight w:val="none"/>
          <w14:textFill>
            <w14:solidFill>
              <w14:schemeClr w14:val="tx1"/>
            </w14:solidFill>
          </w14:textFill>
        </w:rPr>
      </w:pPr>
      <w:r>
        <w:rPr>
          <w:rFonts w:hint="eastAsia" w:ascii="宋体" w:hAnsi="宋体" w:eastAsia="宋体" w:cs="宋体"/>
          <w:color w:val="000000" w:themeColor="text1"/>
          <w:spacing w:val="6"/>
          <w:sz w:val="22"/>
          <w:szCs w:val="22"/>
          <w:highlight w:val="none"/>
          <w:lang w:val="en-US" w:eastAsia="zh-CN"/>
          <w14:textFill>
            <w14:solidFill>
              <w14:schemeClr w14:val="tx1"/>
            </w14:solidFill>
          </w14:textFill>
        </w:rPr>
        <w:t>4.1</w:t>
      </w:r>
      <w:r>
        <w:rPr>
          <w:rFonts w:hint="eastAsia" w:ascii="宋体" w:hAnsi="宋体" w:eastAsia="宋体" w:cs="宋体"/>
          <w:color w:val="000000" w:themeColor="text1"/>
          <w:spacing w:val="6"/>
          <w:sz w:val="22"/>
          <w:szCs w:val="22"/>
          <w:highlight w:val="none"/>
          <w14:textFill>
            <w14:solidFill>
              <w14:schemeClr w14:val="tx1"/>
            </w14:solidFill>
          </w14:textFill>
        </w:rPr>
        <w:t>成交供应商签订合同</w:t>
      </w:r>
      <w:r>
        <w:rPr>
          <w:rFonts w:hint="eastAsia" w:ascii="宋体" w:hAnsi="宋体" w:eastAsia="宋体" w:cs="宋体"/>
          <w:color w:val="000000" w:themeColor="text1"/>
          <w:spacing w:val="6"/>
          <w:sz w:val="22"/>
          <w:szCs w:val="22"/>
          <w:highlight w:val="none"/>
          <w:lang w:val="en-US" w:eastAsia="zh-CN"/>
          <w14:textFill>
            <w14:solidFill>
              <w14:schemeClr w14:val="tx1"/>
            </w14:solidFill>
          </w14:textFill>
        </w:rPr>
        <w:t>前</w:t>
      </w:r>
      <w:r>
        <w:rPr>
          <w:rFonts w:hint="eastAsia" w:ascii="宋体" w:hAnsi="宋体" w:eastAsia="宋体" w:cs="宋体"/>
          <w:color w:val="000000" w:themeColor="text1"/>
          <w:spacing w:val="6"/>
          <w:sz w:val="22"/>
          <w:szCs w:val="22"/>
          <w:highlight w:val="none"/>
          <w14:textFill>
            <w14:solidFill>
              <w14:schemeClr w14:val="tx1"/>
            </w14:solidFill>
          </w14:textFill>
        </w:rPr>
        <w:t>须向采购人提交合同金额</w:t>
      </w:r>
      <w:r>
        <w:rPr>
          <w:rFonts w:hint="eastAsia" w:ascii="宋体" w:hAnsi="宋体" w:eastAsia="宋体" w:cs="宋体"/>
          <w:color w:val="000000" w:themeColor="text1"/>
          <w:spacing w:val="6"/>
          <w:sz w:val="22"/>
          <w:szCs w:val="22"/>
          <w:highlight w:val="none"/>
          <w:lang w:val="en-US" w:eastAsia="zh-CN"/>
          <w14:textFill>
            <w14:solidFill>
              <w14:schemeClr w14:val="tx1"/>
            </w14:solidFill>
          </w14:textFill>
        </w:rPr>
        <w:t>5</w:t>
      </w:r>
      <w:r>
        <w:rPr>
          <w:rFonts w:hint="eastAsia" w:ascii="宋体" w:hAnsi="宋体" w:eastAsia="宋体" w:cs="宋体"/>
          <w:color w:val="000000" w:themeColor="text1"/>
          <w:spacing w:val="6"/>
          <w:sz w:val="22"/>
          <w:szCs w:val="22"/>
          <w:highlight w:val="none"/>
          <w14:textFill>
            <w14:solidFill>
              <w14:schemeClr w14:val="tx1"/>
            </w14:solidFill>
          </w14:textFill>
        </w:rPr>
        <w:t>%的履约保证金，履约保证金的形式可以为银行转账或保函（金融机构、担保机构出具）。</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beforeAutospacing="0" w:afterAutospacing="0" w:line="360" w:lineRule="auto"/>
        <w:ind w:leftChars="0" w:firstLine="464" w:firstLineChars="200"/>
        <w:textAlignment w:val="auto"/>
        <w:rPr>
          <w:rFonts w:hint="eastAsia" w:ascii="宋体" w:hAnsi="宋体" w:eastAsia="宋体" w:cs="宋体"/>
          <w:color w:val="000000" w:themeColor="text1"/>
          <w:spacing w:val="6"/>
          <w:sz w:val="22"/>
          <w:szCs w:val="22"/>
          <w:highlight w:val="none"/>
          <w14:textFill>
            <w14:solidFill>
              <w14:schemeClr w14:val="tx1"/>
            </w14:solidFill>
          </w14:textFill>
        </w:rPr>
      </w:pPr>
      <w:r>
        <w:rPr>
          <w:rFonts w:hint="eastAsia" w:ascii="宋体" w:hAnsi="宋体" w:eastAsia="宋体" w:cs="宋体"/>
          <w:color w:val="000000" w:themeColor="text1"/>
          <w:spacing w:val="6"/>
          <w:sz w:val="22"/>
          <w:szCs w:val="22"/>
          <w:highlight w:val="none"/>
          <w:lang w:val="en-US" w:eastAsia="zh-CN"/>
          <w14:textFill>
            <w14:solidFill>
              <w14:schemeClr w14:val="tx1"/>
            </w14:solidFill>
          </w14:textFill>
        </w:rPr>
        <w:t>4.2</w:t>
      </w:r>
      <w:r>
        <w:rPr>
          <w:rFonts w:hint="eastAsia" w:ascii="宋体" w:hAnsi="宋体" w:eastAsia="宋体" w:cs="宋体"/>
          <w:color w:val="000000" w:themeColor="text1"/>
          <w:spacing w:val="6"/>
          <w:sz w:val="22"/>
          <w:szCs w:val="22"/>
          <w:highlight w:val="none"/>
          <w14:textFill>
            <w14:solidFill>
              <w14:schemeClr w14:val="tx1"/>
            </w14:solidFill>
          </w14:textFill>
        </w:rPr>
        <w:t>履约保证金用于补偿采购人因成交供应商不能完成其合同义务而蒙受的损失。</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beforeAutospacing="0" w:afterAutospacing="0" w:line="360" w:lineRule="auto"/>
        <w:ind w:leftChars="0" w:firstLine="464" w:firstLineChars="200"/>
        <w:textAlignment w:val="auto"/>
        <w:rPr>
          <w:rFonts w:hint="eastAsia" w:ascii="宋体" w:hAnsi="宋体" w:eastAsia="宋体" w:cs="宋体"/>
          <w:color w:val="000000" w:themeColor="text1"/>
          <w:spacing w:val="6"/>
          <w:sz w:val="22"/>
          <w:szCs w:val="22"/>
          <w:highlight w:val="none"/>
          <w14:textFill>
            <w14:solidFill>
              <w14:schemeClr w14:val="tx1"/>
            </w14:solidFill>
          </w14:textFill>
        </w:rPr>
      </w:pPr>
      <w:r>
        <w:rPr>
          <w:rFonts w:hint="eastAsia" w:ascii="宋体" w:hAnsi="宋体" w:eastAsia="宋体" w:cs="宋体"/>
          <w:color w:val="000000" w:themeColor="text1"/>
          <w:spacing w:val="6"/>
          <w:sz w:val="22"/>
          <w:szCs w:val="22"/>
          <w:highlight w:val="none"/>
          <w:lang w:val="en-US" w:eastAsia="zh-CN"/>
          <w14:textFill>
            <w14:solidFill>
              <w14:schemeClr w14:val="tx1"/>
            </w14:solidFill>
          </w14:textFill>
        </w:rPr>
        <w:t>4.3</w:t>
      </w:r>
      <w:r>
        <w:rPr>
          <w:rFonts w:hint="eastAsia" w:ascii="宋体" w:hAnsi="宋体" w:eastAsia="宋体" w:cs="宋体"/>
          <w:color w:val="000000" w:themeColor="text1"/>
          <w:spacing w:val="6"/>
          <w:sz w:val="22"/>
          <w:szCs w:val="22"/>
          <w:highlight w:val="none"/>
          <w14:textFill>
            <w14:solidFill>
              <w14:schemeClr w14:val="tx1"/>
            </w14:solidFill>
          </w14:textFill>
        </w:rPr>
        <w:t>履约保证金自合同签订之日起至完成合同内容之日止有效。</w:t>
      </w:r>
      <w:r>
        <w:rPr>
          <w:rFonts w:hint="eastAsia" w:ascii="宋体" w:hAnsi="宋体" w:eastAsia="宋体" w:cs="宋体"/>
          <w:color w:val="000000" w:themeColor="text1"/>
          <w:spacing w:val="6"/>
          <w:sz w:val="22"/>
          <w:szCs w:val="22"/>
          <w:highlight w:val="none"/>
          <w:lang w:val="en-US" w:eastAsia="zh-CN"/>
          <w14:textFill>
            <w14:solidFill>
              <w14:schemeClr w14:val="tx1"/>
            </w14:solidFill>
          </w14:textFill>
        </w:rPr>
        <w:t>待成交供应商完成本项目并通过最终验收、资产入库</w:t>
      </w:r>
      <w:r>
        <w:rPr>
          <w:rFonts w:hint="eastAsia" w:ascii="宋体" w:hAnsi="宋体" w:eastAsia="宋体" w:cs="宋体"/>
          <w:color w:val="000000" w:themeColor="text1"/>
          <w:spacing w:val="6"/>
          <w:sz w:val="22"/>
          <w:szCs w:val="22"/>
          <w:highlight w:val="none"/>
          <w14:textFill>
            <w14:solidFill>
              <w14:schemeClr w14:val="tx1"/>
            </w14:solidFill>
          </w14:textFill>
        </w:rPr>
        <w:t>后，</w:t>
      </w:r>
      <w:r>
        <w:rPr>
          <w:rFonts w:hint="eastAsia" w:ascii="宋体" w:hAnsi="宋体" w:eastAsia="宋体" w:cs="宋体"/>
          <w:color w:val="000000" w:themeColor="text1"/>
          <w:spacing w:val="6"/>
          <w:sz w:val="22"/>
          <w:szCs w:val="22"/>
          <w:highlight w:val="none"/>
          <w:lang w:val="en-US" w:eastAsia="zh-CN"/>
          <w14:textFill>
            <w14:solidFill>
              <w14:schemeClr w14:val="tx1"/>
            </w14:solidFill>
          </w14:textFill>
        </w:rPr>
        <w:t>履约保证金转为质量保证金，待五年的质保期满后，若无质量问题，</w:t>
      </w:r>
      <w:r>
        <w:rPr>
          <w:rFonts w:hint="eastAsia" w:ascii="宋体" w:hAnsi="宋体" w:eastAsia="宋体" w:cs="宋体"/>
          <w:color w:val="000000" w:themeColor="text1"/>
          <w:spacing w:val="6"/>
          <w:sz w:val="22"/>
          <w:szCs w:val="22"/>
          <w:highlight w:val="none"/>
          <w14:textFill>
            <w14:solidFill>
              <w14:schemeClr w14:val="tx1"/>
            </w14:solidFill>
          </w14:textFill>
        </w:rPr>
        <w:t>采</w:t>
      </w:r>
      <w:r>
        <w:rPr>
          <w:rFonts w:hint="eastAsia" w:ascii="宋体" w:hAnsi="宋体" w:eastAsia="宋体" w:cs="宋体"/>
          <w:color w:val="000000" w:themeColor="text1"/>
          <w:spacing w:val="6"/>
          <w:sz w:val="22"/>
          <w:szCs w:val="22"/>
          <w:highlight w:val="none"/>
          <w:lang w:val="en-US" w:eastAsia="zh-CN"/>
          <w14:textFill>
            <w14:solidFill>
              <w14:schemeClr w14:val="tx1"/>
            </w14:solidFill>
          </w14:textFill>
        </w:rPr>
        <w:t>购人在15个工作日内一次性将质量保证金无</w:t>
      </w:r>
      <w:r>
        <w:rPr>
          <w:rFonts w:hint="eastAsia" w:ascii="宋体" w:hAnsi="宋体" w:eastAsia="宋体" w:cs="宋体"/>
          <w:color w:val="000000" w:themeColor="text1"/>
          <w:spacing w:val="6"/>
          <w:sz w:val="22"/>
          <w:szCs w:val="22"/>
          <w:highlight w:val="none"/>
          <w14:textFill>
            <w14:solidFill>
              <w14:schemeClr w14:val="tx1"/>
            </w14:solidFill>
          </w14:textFill>
        </w:rPr>
        <w:t>息退还给成交供应商。</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000000" w:themeColor="text1"/>
          <w:spacing w:val="6"/>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5.</w:t>
      </w:r>
      <w:r>
        <w:rPr>
          <w:rFonts w:hint="eastAsia" w:ascii="宋体" w:hAnsi="宋体" w:eastAsia="宋体" w:cs="宋体"/>
          <w:color w:val="000000" w:themeColor="text1"/>
          <w:sz w:val="22"/>
          <w:szCs w:val="22"/>
          <w:highlight w:val="none"/>
          <w14:textFill>
            <w14:solidFill>
              <w14:schemeClr w14:val="tx1"/>
            </w14:solidFill>
          </w14:textFill>
        </w:rPr>
        <w:t>采购代理服务费</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beforeAutospacing="0" w:afterAutospacing="0" w:line="360" w:lineRule="auto"/>
        <w:ind w:leftChars="0" w:firstLine="464" w:firstLineChars="200"/>
        <w:textAlignment w:val="auto"/>
        <w:rPr>
          <w:rFonts w:hint="eastAsia" w:ascii="宋体" w:hAnsi="宋体" w:eastAsia="宋体" w:cs="宋体"/>
          <w:color w:val="000000" w:themeColor="text1"/>
          <w:spacing w:val="6"/>
          <w:sz w:val="22"/>
          <w:szCs w:val="22"/>
          <w:highlight w:val="none"/>
          <w14:textFill>
            <w14:solidFill>
              <w14:schemeClr w14:val="tx1"/>
            </w14:solidFill>
          </w14:textFill>
        </w:rPr>
      </w:pPr>
      <w:r>
        <w:rPr>
          <w:rFonts w:hint="eastAsia" w:ascii="宋体" w:hAnsi="宋体" w:eastAsia="宋体" w:cs="宋体"/>
          <w:color w:val="000000" w:themeColor="text1"/>
          <w:spacing w:val="6"/>
          <w:sz w:val="22"/>
          <w:szCs w:val="22"/>
          <w:highlight w:val="none"/>
          <w:lang w:val="en-US" w:eastAsia="zh-CN"/>
          <w14:textFill>
            <w14:solidFill>
              <w14:schemeClr w14:val="tx1"/>
            </w14:solidFill>
          </w14:textFill>
        </w:rPr>
        <w:t>5.1</w:t>
      </w:r>
      <w:r>
        <w:rPr>
          <w:rFonts w:hint="eastAsia" w:ascii="宋体" w:hAnsi="宋体" w:eastAsia="宋体" w:cs="宋体"/>
          <w:color w:val="000000" w:themeColor="text1"/>
          <w:spacing w:val="6"/>
          <w:sz w:val="22"/>
          <w:szCs w:val="22"/>
          <w:highlight w:val="none"/>
          <w14:textFill>
            <w14:solidFill>
              <w14:schemeClr w14:val="tx1"/>
            </w14:solidFill>
          </w14:textFill>
        </w:rPr>
        <w:t>本次采购代理服务费按固定金额人民币</w:t>
      </w:r>
      <w:r>
        <w:rPr>
          <w:rFonts w:hint="eastAsia" w:ascii="宋体" w:hAnsi="宋体" w:eastAsia="宋体" w:cs="宋体"/>
          <w:color w:val="000000" w:themeColor="text1"/>
          <w:spacing w:val="6"/>
          <w:sz w:val="22"/>
          <w:szCs w:val="22"/>
          <w:highlight w:val="none"/>
          <w:lang w:val="en-US" w:eastAsia="zh-CN"/>
          <w14:textFill>
            <w14:solidFill>
              <w14:schemeClr w14:val="tx1"/>
            </w14:solidFill>
          </w14:textFill>
        </w:rPr>
        <w:t>陆</w:t>
      </w:r>
      <w:r>
        <w:rPr>
          <w:rFonts w:hint="eastAsia" w:ascii="宋体" w:hAnsi="宋体" w:eastAsia="宋体" w:cs="宋体"/>
          <w:color w:val="000000" w:themeColor="text1"/>
          <w:spacing w:val="6"/>
          <w:sz w:val="22"/>
          <w:szCs w:val="22"/>
          <w:highlight w:val="none"/>
          <w14:textFill>
            <w14:solidFill>
              <w14:schemeClr w14:val="tx1"/>
            </w14:solidFill>
          </w14:textFill>
        </w:rPr>
        <w:t>仟</w:t>
      </w:r>
      <w:r>
        <w:rPr>
          <w:rFonts w:hint="eastAsia" w:ascii="宋体" w:hAnsi="宋体" w:eastAsia="宋体" w:cs="宋体"/>
          <w:color w:val="000000" w:themeColor="text1"/>
          <w:spacing w:val="6"/>
          <w:sz w:val="22"/>
          <w:szCs w:val="22"/>
          <w:highlight w:val="none"/>
          <w:lang w:val="en-US" w:eastAsia="zh-CN"/>
          <w14:textFill>
            <w14:solidFill>
              <w14:schemeClr w14:val="tx1"/>
            </w14:solidFill>
          </w14:textFill>
        </w:rPr>
        <w:t>伍佰</w:t>
      </w:r>
      <w:r>
        <w:rPr>
          <w:rFonts w:hint="eastAsia" w:ascii="宋体" w:hAnsi="宋体" w:eastAsia="宋体" w:cs="宋体"/>
          <w:color w:val="000000" w:themeColor="text1"/>
          <w:spacing w:val="6"/>
          <w:sz w:val="22"/>
          <w:szCs w:val="22"/>
          <w:highlight w:val="none"/>
          <w14:textFill>
            <w14:solidFill>
              <w14:schemeClr w14:val="tx1"/>
            </w14:solidFill>
          </w14:textFill>
        </w:rPr>
        <w:t>元整收取，由成交单位在领取成交通知书之前支付给采购代理机构，</w:t>
      </w:r>
      <w:r>
        <w:rPr>
          <w:rFonts w:hint="eastAsia" w:ascii="宋体" w:hAnsi="宋体" w:eastAsia="宋体" w:cs="宋体"/>
          <w:color w:val="000000"/>
          <w:sz w:val="22"/>
          <w:szCs w:val="22"/>
          <w:highlight w:val="none"/>
        </w:rPr>
        <w:t>采购代理费包含在总报价中综合考虑。</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beforeAutospacing="0" w:afterAutospacing="0" w:line="360" w:lineRule="auto"/>
        <w:ind w:leftChars="0" w:firstLine="464"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pacing w:val="6"/>
          <w:sz w:val="22"/>
          <w:szCs w:val="22"/>
          <w:highlight w:val="none"/>
          <w:lang w:val="en-US" w:eastAsia="zh-CN"/>
          <w14:textFill>
            <w14:solidFill>
              <w14:schemeClr w14:val="tx1"/>
            </w14:solidFill>
          </w14:textFill>
        </w:rPr>
        <w:t>5.2</w:t>
      </w:r>
      <w:r>
        <w:rPr>
          <w:rFonts w:hint="eastAsia" w:ascii="宋体" w:hAnsi="宋体" w:eastAsia="宋体" w:cs="宋体"/>
          <w:color w:val="000000" w:themeColor="text1"/>
          <w:spacing w:val="6"/>
          <w:sz w:val="22"/>
          <w:szCs w:val="22"/>
          <w:highlight w:val="none"/>
          <w14:textFill>
            <w14:solidFill>
              <w14:schemeClr w14:val="tx1"/>
            </w14:solidFill>
          </w14:textFill>
        </w:rPr>
        <w:t>采购代理服务费可以是现金、转账。</w:t>
      </w:r>
    </w:p>
    <w:p>
      <w:pPr>
        <w:pStyle w:val="2"/>
        <w:rPr>
          <w:rFonts w:hint="eastAsia" w:ascii="宋体" w:hAnsi="宋体" w:eastAsia="宋体" w:cs="宋体"/>
          <w:color w:val="000000" w:themeColor="text1"/>
          <w:sz w:val="36"/>
          <w:szCs w:val="36"/>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br w:type="page"/>
      </w:r>
      <w:bookmarkStart w:id="139" w:name="_Toc262105506"/>
      <w:bookmarkStart w:id="140" w:name="_Toc249758867"/>
      <w:bookmarkStart w:id="141" w:name="_Toc245722284"/>
      <w:bookmarkStart w:id="142" w:name="_Toc49175240"/>
      <w:bookmarkStart w:id="143" w:name="_Toc245191317"/>
      <w:bookmarkStart w:id="144" w:name="_Toc239145357"/>
      <w:bookmarkStart w:id="145" w:name="_Toc249758715"/>
      <w:bookmarkStart w:id="146" w:name="_Toc222114882"/>
      <w:bookmarkStart w:id="147" w:name="_Toc221356954"/>
      <w:bookmarkStart w:id="148" w:name="_Toc221374629"/>
      <w:bookmarkStart w:id="149" w:name="_Toc221356890"/>
      <w:bookmarkStart w:id="150" w:name="_Toc221423622"/>
      <w:bookmarkStart w:id="151" w:name="_Toc241404205"/>
      <w:bookmarkStart w:id="152" w:name="_Toc262049421"/>
      <w:bookmarkStart w:id="153" w:name="_Toc223716001"/>
      <w:bookmarkStart w:id="154" w:name="_Toc246261268"/>
      <w:r>
        <w:rPr>
          <w:rFonts w:hint="eastAsia" w:ascii="宋体" w:hAnsi="宋体" w:eastAsia="宋体" w:cs="宋体"/>
          <w:color w:val="000000" w:themeColor="text1"/>
          <w:sz w:val="36"/>
          <w:szCs w:val="36"/>
          <w:highlight w:val="none"/>
          <w14:textFill>
            <w14:solidFill>
              <w14:schemeClr w14:val="tx1"/>
            </w14:solidFill>
          </w14:textFill>
        </w:rPr>
        <w:t>第二部分   合同主要条款</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pPr>
        <w:rPr>
          <w:rFonts w:hint="eastAsia" w:ascii="宋体" w:hAnsi="宋体" w:eastAsia="宋体" w:cs="宋体"/>
          <w:color w:val="000000" w:themeColor="text1"/>
          <w:highlight w:val="none"/>
          <w14:textFill>
            <w14:solidFill>
              <w14:schemeClr w14:val="tx1"/>
            </w14:solidFill>
          </w14:textFill>
        </w:rPr>
      </w:pPr>
      <w:bookmarkStart w:id="155" w:name="_Toc262105509"/>
      <w:bookmarkStart w:id="156" w:name="_Toc245191319"/>
      <w:bookmarkStart w:id="157" w:name="_Toc221356892"/>
      <w:bookmarkStart w:id="158" w:name="_Toc262049424"/>
      <w:bookmarkStart w:id="159" w:name="_Toc239145359"/>
      <w:bookmarkStart w:id="160" w:name="_Toc245722286"/>
      <w:bookmarkStart w:id="161" w:name="_Toc249758719"/>
      <w:bookmarkStart w:id="162" w:name="_Toc249758870"/>
      <w:bookmarkStart w:id="163" w:name="_Toc246261270"/>
      <w:bookmarkStart w:id="164" w:name="_Toc249758718"/>
      <w:bookmarkStart w:id="165" w:name="_Toc241404207"/>
      <w:bookmarkStart w:id="166" w:name="_Toc221423624"/>
      <w:bookmarkStart w:id="167" w:name="_Toc223716003"/>
      <w:bookmarkStart w:id="168" w:name="_Toc221356956"/>
      <w:bookmarkStart w:id="169" w:name="_Toc221374631"/>
      <w:bookmarkStart w:id="170" w:name="_Toc222114884"/>
    </w:p>
    <w:p>
      <w:pPr>
        <w:keepNext w:val="0"/>
        <w:keepLines w:val="0"/>
        <w:pageBreakBefore w:val="0"/>
        <w:kinsoku/>
        <w:wordWrap/>
        <w:overflowPunct/>
        <w:topLinePunct w:val="0"/>
        <w:autoSpaceDE/>
        <w:autoSpaceDN/>
        <w:bidi w:val="0"/>
        <w:adjustRightInd/>
        <w:spacing w:line="360" w:lineRule="auto"/>
        <w:ind w:left="0"/>
        <w:jc w:val="center"/>
        <w:textAlignment w:val="auto"/>
        <w:rPr>
          <w:rFonts w:hint="eastAsia" w:ascii="宋体" w:hAnsi="宋体" w:eastAsia="宋体" w:cs="宋体"/>
          <w:b/>
          <w:color w:val="auto"/>
          <w:sz w:val="22"/>
          <w:szCs w:val="22"/>
          <w:highlight w:val="none"/>
          <w:shd w:val="clear" w:color="auto" w:fill="auto"/>
        </w:rPr>
      </w:pPr>
      <w:r>
        <w:rPr>
          <w:rFonts w:hint="eastAsia" w:ascii="宋体" w:hAnsi="宋体" w:eastAsia="宋体" w:cs="宋体"/>
          <w:b/>
          <w:color w:val="auto"/>
          <w:sz w:val="22"/>
          <w:szCs w:val="22"/>
          <w:highlight w:val="none"/>
          <w:u w:val="single"/>
          <w:shd w:val="clear" w:color="auto" w:fill="auto"/>
        </w:rPr>
        <w:t>标准化考场网上巡查系统改建</w:t>
      </w:r>
      <w:r>
        <w:rPr>
          <w:rFonts w:hint="eastAsia" w:ascii="宋体" w:hAnsi="宋体" w:eastAsia="宋体" w:cs="宋体"/>
          <w:b/>
          <w:color w:val="auto"/>
          <w:sz w:val="22"/>
          <w:szCs w:val="22"/>
          <w:highlight w:val="none"/>
          <w:shd w:val="clear" w:color="auto" w:fill="auto"/>
        </w:rPr>
        <w:t>项目系统服务合同</w:t>
      </w:r>
    </w:p>
    <w:p>
      <w:pPr>
        <w:keepNext w:val="0"/>
        <w:keepLines w:val="0"/>
        <w:pageBreakBefore w:val="0"/>
        <w:kinsoku/>
        <w:wordWrap/>
        <w:overflowPunct/>
        <w:topLinePunct w:val="0"/>
        <w:autoSpaceDE/>
        <w:autoSpaceDN/>
        <w:bidi w:val="0"/>
        <w:adjustRightInd/>
        <w:spacing w:line="360" w:lineRule="auto"/>
        <w:ind w:left="0"/>
        <w:textAlignment w:val="auto"/>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本合同由甲乙双方于</w:t>
      </w:r>
      <w:r>
        <w:rPr>
          <w:rFonts w:hint="eastAsia" w:ascii="宋体" w:hAnsi="宋体" w:eastAsia="宋体" w:cs="宋体"/>
          <w:b/>
          <w:bCs/>
          <w:color w:val="auto"/>
          <w:kern w:val="2"/>
          <w:sz w:val="22"/>
          <w:szCs w:val="22"/>
          <w:highlight w:val="none"/>
          <w:u w:val="single"/>
          <w:shd w:val="clear" w:color="auto" w:fill="auto"/>
          <w:lang w:val="en-US" w:eastAsia="zh-CN" w:bidi="ar-SA"/>
        </w:rPr>
        <w:t>2022</w:t>
      </w:r>
      <w:r>
        <w:rPr>
          <w:rFonts w:hint="eastAsia" w:ascii="宋体" w:hAnsi="宋体" w:eastAsia="宋体" w:cs="宋体"/>
          <w:color w:val="auto"/>
          <w:sz w:val="22"/>
          <w:szCs w:val="22"/>
          <w:highlight w:val="none"/>
          <w:shd w:val="clear" w:color="auto" w:fill="auto"/>
        </w:rPr>
        <w:t>年</w:t>
      </w:r>
      <w:r>
        <w:rPr>
          <w:rFonts w:hint="eastAsia" w:ascii="宋体" w:hAnsi="宋体" w:eastAsia="宋体" w:cs="宋体"/>
          <w:b/>
          <w:bCs/>
          <w:color w:val="auto"/>
          <w:kern w:val="2"/>
          <w:sz w:val="22"/>
          <w:szCs w:val="22"/>
          <w:highlight w:val="none"/>
          <w:u w:val="single"/>
          <w:shd w:val="clear" w:color="auto" w:fill="auto"/>
          <w:lang w:val="en-US" w:eastAsia="zh-CN" w:bidi="ar-SA"/>
        </w:rPr>
        <w:t xml:space="preserve">  </w:t>
      </w:r>
      <w:r>
        <w:rPr>
          <w:rFonts w:hint="eastAsia" w:ascii="宋体" w:hAnsi="宋体" w:eastAsia="宋体" w:cs="宋体"/>
          <w:color w:val="auto"/>
          <w:sz w:val="22"/>
          <w:szCs w:val="22"/>
          <w:highlight w:val="none"/>
          <w:shd w:val="clear" w:color="auto" w:fill="auto"/>
        </w:rPr>
        <w:t>月在</w:t>
      </w:r>
      <w:r>
        <w:rPr>
          <w:rFonts w:hint="eastAsia" w:ascii="宋体" w:hAnsi="宋体" w:eastAsia="宋体" w:cs="宋体"/>
          <w:color w:val="auto"/>
          <w:sz w:val="22"/>
          <w:szCs w:val="22"/>
          <w:highlight w:val="none"/>
          <w:u w:val="single"/>
          <w:shd w:val="clear" w:color="auto" w:fill="auto"/>
          <w:lang w:val="en-US" w:eastAsia="zh-CN"/>
        </w:rPr>
        <w:t>温州市</w:t>
      </w:r>
      <w:r>
        <w:rPr>
          <w:rFonts w:hint="eastAsia" w:ascii="宋体" w:hAnsi="宋体" w:eastAsia="宋体" w:cs="宋体"/>
          <w:color w:val="auto"/>
          <w:sz w:val="22"/>
          <w:szCs w:val="22"/>
          <w:highlight w:val="none"/>
          <w:shd w:val="clear" w:color="auto" w:fill="auto"/>
        </w:rPr>
        <w:t>签订。</w:t>
      </w:r>
    </w:p>
    <w:p>
      <w:pPr>
        <w:keepNext w:val="0"/>
        <w:keepLines w:val="0"/>
        <w:pageBreakBefore w:val="0"/>
        <w:kinsoku/>
        <w:wordWrap/>
        <w:overflowPunct/>
        <w:topLinePunct w:val="0"/>
        <w:autoSpaceDE/>
        <w:autoSpaceDN/>
        <w:bidi w:val="0"/>
        <w:adjustRightInd/>
        <w:spacing w:line="360" w:lineRule="auto"/>
        <w:ind w:left="0"/>
        <w:textAlignment w:val="auto"/>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 xml:space="preserve">甲方： </w:t>
      </w:r>
      <w:r>
        <w:rPr>
          <w:rFonts w:hint="eastAsia" w:ascii="宋体" w:hAnsi="宋体" w:eastAsia="宋体" w:cs="宋体"/>
          <w:color w:val="auto"/>
          <w:sz w:val="22"/>
          <w:szCs w:val="22"/>
          <w:highlight w:val="none"/>
          <w:u w:val="single"/>
          <w:shd w:val="clear" w:color="auto" w:fill="auto"/>
        </w:rPr>
        <w:t>浙江东方职业技术学院</w:t>
      </w:r>
    </w:p>
    <w:p>
      <w:pPr>
        <w:keepNext w:val="0"/>
        <w:keepLines w:val="0"/>
        <w:pageBreakBefore w:val="0"/>
        <w:kinsoku/>
        <w:wordWrap/>
        <w:overflowPunct/>
        <w:topLinePunct w:val="0"/>
        <w:autoSpaceDE/>
        <w:autoSpaceDN/>
        <w:bidi w:val="0"/>
        <w:adjustRightInd/>
        <w:spacing w:line="360" w:lineRule="auto"/>
        <w:ind w:left="0"/>
        <w:textAlignment w:val="auto"/>
        <w:rPr>
          <w:rFonts w:hint="eastAsia" w:ascii="宋体" w:hAnsi="宋体" w:eastAsia="宋体" w:cs="宋体"/>
          <w:color w:val="auto"/>
          <w:sz w:val="22"/>
          <w:szCs w:val="22"/>
          <w:highlight w:val="none"/>
          <w:shd w:val="clear" w:color="auto" w:fill="auto"/>
          <w:lang w:eastAsia="zh-CN"/>
        </w:rPr>
      </w:pPr>
      <w:r>
        <w:rPr>
          <w:rFonts w:hint="eastAsia" w:ascii="宋体" w:hAnsi="宋体" w:eastAsia="宋体" w:cs="宋体"/>
          <w:color w:val="auto"/>
          <w:sz w:val="22"/>
          <w:szCs w:val="22"/>
          <w:highlight w:val="none"/>
          <w:shd w:val="clear" w:color="auto" w:fill="auto"/>
        </w:rPr>
        <w:t xml:space="preserve">法定代表人（负责人）： </w:t>
      </w:r>
      <w:r>
        <w:rPr>
          <w:rFonts w:hint="eastAsia" w:ascii="宋体" w:hAnsi="宋体" w:eastAsia="宋体" w:cs="宋体"/>
          <w:color w:val="auto"/>
          <w:sz w:val="22"/>
          <w:szCs w:val="22"/>
          <w:highlight w:val="none"/>
          <w:u w:val="single"/>
          <w:shd w:val="clear" w:color="auto" w:fill="auto"/>
          <w:lang w:val="en-US" w:eastAsia="zh-CN"/>
        </w:rPr>
        <w:t>杨作军</w:t>
      </w:r>
    </w:p>
    <w:p>
      <w:pPr>
        <w:keepNext w:val="0"/>
        <w:keepLines w:val="0"/>
        <w:pageBreakBefore w:val="0"/>
        <w:tabs>
          <w:tab w:val="left" w:pos="4889"/>
        </w:tabs>
        <w:kinsoku/>
        <w:wordWrap/>
        <w:overflowPunct/>
        <w:topLinePunct w:val="0"/>
        <w:autoSpaceDE/>
        <w:autoSpaceDN/>
        <w:bidi w:val="0"/>
        <w:adjustRightInd/>
        <w:spacing w:line="360" w:lineRule="auto"/>
        <w:ind w:left="0"/>
        <w:textAlignment w:val="auto"/>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地址：温州经济技术开发区金海三道433号</w:t>
      </w:r>
    </w:p>
    <w:p>
      <w:pPr>
        <w:keepNext w:val="0"/>
        <w:keepLines w:val="0"/>
        <w:pageBreakBefore w:val="0"/>
        <w:kinsoku/>
        <w:wordWrap/>
        <w:overflowPunct/>
        <w:topLinePunct w:val="0"/>
        <w:autoSpaceDE/>
        <w:autoSpaceDN/>
        <w:bidi w:val="0"/>
        <w:adjustRightInd/>
        <w:spacing w:line="360" w:lineRule="auto"/>
        <w:ind w:left="0"/>
        <w:textAlignment w:val="auto"/>
        <w:rPr>
          <w:rFonts w:hint="eastAsia" w:ascii="宋体" w:hAnsi="宋体" w:eastAsia="宋体" w:cs="宋体"/>
          <w:color w:val="auto"/>
          <w:sz w:val="22"/>
          <w:szCs w:val="22"/>
          <w:highlight w:val="none"/>
          <w:shd w:val="clear" w:color="auto" w:fill="auto"/>
        </w:rPr>
      </w:pPr>
    </w:p>
    <w:p>
      <w:pPr>
        <w:keepNext w:val="0"/>
        <w:keepLines w:val="0"/>
        <w:pageBreakBefore w:val="0"/>
        <w:kinsoku/>
        <w:wordWrap/>
        <w:overflowPunct/>
        <w:topLinePunct w:val="0"/>
        <w:autoSpaceDE/>
        <w:autoSpaceDN/>
        <w:bidi w:val="0"/>
        <w:adjustRightInd/>
        <w:spacing w:line="360" w:lineRule="auto"/>
        <w:ind w:left="0"/>
        <w:textAlignment w:val="auto"/>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rPr>
        <w:t xml:space="preserve">乙方： </w:t>
      </w:r>
      <w:r>
        <w:rPr>
          <w:rFonts w:hint="eastAsia" w:ascii="宋体" w:hAnsi="宋体" w:eastAsia="宋体" w:cs="宋体"/>
          <w:color w:val="auto"/>
          <w:sz w:val="22"/>
          <w:szCs w:val="22"/>
          <w:highlight w:val="none"/>
          <w:u w:val="single"/>
          <w:shd w:val="clear" w:color="auto" w:fill="auto"/>
          <w:lang w:val="en-US" w:eastAsia="zh-CN"/>
        </w:rPr>
        <w:t xml:space="preserve">                          </w:t>
      </w:r>
    </w:p>
    <w:p>
      <w:pPr>
        <w:keepNext w:val="0"/>
        <w:keepLines w:val="0"/>
        <w:pageBreakBefore w:val="0"/>
        <w:kinsoku/>
        <w:wordWrap/>
        <w:overflowPunct/>
        <w:topLinePunct w:val="0"/>
        <w:autoSpaceDE/>
        <w:autoSpaceDN/>
        <w:bidi w:val="0"/>
        <w:adjustRightInd/>
        <w:spacing w:line="360" w:lineRule="auto"/>
        <w:ind w:left="0"/>
        <w:textAlignment w:val="auto"/>
        <w:rPr>
          <w:rFonts w:hint="eastAsia" w:ascii="宋体" w:hAnsi="宋体" w:eastAsia="宋体" w:cs="宋体"/>
          <w:b/>
          <w:bCs/>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法定代表人（负责人）：</w:t>
      </w:r>
      <w:r>
        <w:rPr>
          <w:rFonts w:hint="eastAsia" w:ascii="宋体" w:hAnsi="宋体" w:eastAsia="宋体" w:cs="宋体"/>
          <w:color w:val="auto"/>
          <w:sz w:val="22"/>
          <w:szCs w:val="22"/>
          <w:highlight w:val="none"/>
          <w:u w:val="single"/>
          <w:shd w:val="clear" w:color="auto" w:fill="auto"/>
          <w:lang w:val="en-US" w:eastAsia="zh-CN"/>
        </w:rPr>
        <w:t xml:space="preserve">         </w:t>
      </w:r>
      <w:r>
        <w:rPr>
          <w:rFonts w:hint="eastAsia" w:ascii="宋体" w:hAnsi="宋体" w:eastAsia="宋体" w:cs="宋体"/>
          <w:b/>
          <w:bCs/>
          <w:color w:val="auto"/>
          <w:sz w:val="22"/>
          <w:szCs w:val="22"/>
          <w:highlight w:val="none"/>
          <w:shd w:val="clear" w:color="auto" w:fill="auto"/>
        </w:rPr>
        <w:t xml:space="preserve"> </w:t>
      </w:r>
    </w:p>
    <w:p>
      <w:pPr>
        <w:keepNext w:val="0"/>
        <w:keepLines w:val="0"/>
        <w:pageBreakBefore w:val="0"/>
        <w:kinsoku/>
        <w:wordWrap/>
        <w:overflowPunct/>
        <w:topLinePunct w:val="0"/>
        <w:autoSpaceDE/>
        <w:autoSpaceDN/>
        <w:bidi w:val="0"/>
        <w:adjustRightInd/>
        <w:spacing w:line="360" w:lineRule="auto"/>
        <w:ind w:left="0"/>
        <w:textAlignment w:val="auto"/>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地址：</w:t>
      </w:r>
      <w:r>
        <w:rPr>
          <w:rFonts w:hint="eastAsia" w:ascii="宋体" w:hAnsi="宋体" w:eastAsia="宋体" w:cs="宋体"/>
          <w:color w:val="auto"/>
          <w:sz w:val="22"/>
          <w:szCs w:val="22"/>
          <w:highlight w:val="none"/>
          <w:u w:val="single"/>
          <w:shd w:val="clear" w:color="auto" w:fill="auto"/>
          <w:lang w:val="en-US" w:eastAsia="zh-CN"/>
        </w:rPr>
        <w:t xml:space="preserve">                   </w:t>
      </w:r>
      <w:r>
        <w:rPr>
          <w:rFonts w:hint="eastAsia" w:ascii="宋体" w:hAnsi="宋体" w:eastAsia="宋体" w:cs="宋体"/>
          <w:color w:val="auto"/>
          <w:sz w:val="22"/>
          <w:szCs w:val="22"/>
          <w:highlight w:val="none"/>
          <w:shd w:val="clear" w:color="auto" w:fill="auto"/>
        </w:rPr>
        <w:t xml:space="preserve"> </w:t>
      </w:r>
    </w:p>
    <w:p>
      <w:pPr>
        <w:keepNext w:val="0"/>
        <w:keepLines w:val="0"/>
        <w:pageBreakBefore w:val="0"/>
        <w:tabs>
          <w:tab w:val="left" w:pos="1080"/>
        </w:tabs>
        <w:kinsoku/>
        <w:wordWrap/>
        <w:overflowPunct/>
        <w:topLinePunct w:val="0"/>
        <w:autoSpaceDE/>
        <w:autoSpaceDN/>
        <w:bidi w:val="0"/>
        <w:adjustRightInd/>
        <w:spacing w:line="360" w:lineRule="auto"/>
        <w:ind w:left="0"/>
        <w:textAlignment w:val="auto"/>
        <w:rPr>
          <w:rFonts w:hint="eastAsia" w:ascii="宋体" w:hAnsi="宋体" w:eastAsia="宋体" w:cs="宋体"/>
          <w:b/>
          <w:color w:val="auto"/>
          <w:sz w:val="22"/>
          <w:szCs w:val="22"/>
          <w:highlight w:val="none"/>
          <w:shd w:val="clear" w:color="auto" w:fill="auto"/>
        </w:rPr>
      </w:pPr>
    </w:p>
    <w:p>
      <w:pPr>
        <w:keepNext w:val="0"/>
        <w:keepLines w:val="0"/>
        <w:pageBreakBefore w:val="0"/>
        <w:tabs>
          <w:tab w:val="left" w:pos="1080"/>
        </w:tabs>
        <w:kinsoku/>
        <w:wordWrap/>
        <w:overflowPunct/>
        <w:topLinePunct w:val="0"/>
        <w:autoSpaceDE/>
        <w:autoSpaceDN/>
        <w:bidi w:val="0"/>
        <w:adjustRightInd/>
        <w:spacing w:line="360" w:lineRule="auto"/>
        <w:ind w:left="0"/>
        <w:textAlignment w:val="auto"/>
        <w:rPr>
          <w:rFonts w:hint="eastAsia" w:ascii="宋体" w:hAnsi="宋体" w:eastAsia="宋体" w:cs="宋体"/>
          <w:color w:val="auto"/>
          <w:sz w:val="22"/>
          <w:szCs w:val="22"/>
          <w:highlight w:val="none"/>
          <w:shd w:val="clear" w:color="auto" w:fill="auto"/>
        </w:rPr>
      </w:pPr>
      <w:r>
        <w:rPr>
          <w:rFonts w:hint="eastAsia" w:ascii="宋体" w:hAnsi="宋体" w:eastAsia="宋体" w:cs="宋体"/>
          <w:b/>
          <w:color w:val="auto"/>
          <w:sz w:val="22"/>
          <w:szCs w:val="22"/>
          <w:highlight w:val="none"/>
          <w:shd w:val="clear" w:color="auto" w:fill="auto"/>
        </w:rPr>
        <w:t>第一条  合作内容</w:t>
      </w:r>
    </w:p>
    <w:p>
      <w:pPr>
        <w:keepNext w:val="0"/>
        <w:keepLines w:val="0"/>
        <w:pageBreakBefore w:val="0"/>
        <w:kinsoku/>
        <w:wordWrap/>
        <w:overflowPunct/>
        <w:topLinePunct w:val="0"/>
        <w:autoSpaceDE/>
        <w:autoSpaceDN/>
        <w:bidi w:val="0"/>
        <w:adjustRightInd/>
        <w:spacing w:line="360" w:lineRule="auto"/>
        <w:ind w:left="0" w:firstLine="440" w:firstLineChars="200"/>
        <w:textAlignment w:val="auto"/>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u w:val="single"/>
          <w:shd w:val="clear" w:color="auto" w:fill="auto"/>
        </w:rPr>
        <w:t>标准化考场网上巡查系统改建</w:t>
      </w:r>
      <w:r>
        <w:rPr>
          <w:rFonts w:hint="eastAsia" w:ascii="宋体" w:hAnsi="宋体" w:eastAsia="宋体" w:cs="宋体"/>
          <w:color w:val="auto"/>
          <w:sz w:val="22"/>
          <w:szCs w:val="22"/>
          <w:highlight w:val="none"/>
          <w:shd w:val="clear" w:color="auto" w:fill="auto"/>
        </w:rPr>
        <w:t>项目，甲乙双方将共同协商处理在合作中出现的问题，不断拓宽业务合作范畴。</w:t>
      </w:r>
    </w:p>
    <w:p>
      <w:pPr>
        <w:keepNext w:val="0"/>
        <w:keepLines w:val="0"/>
        <w:pageBreakBefore w:val="0"/>
        <w:kinsoku/>
        <w:wordWrap/>
        <w:overflowPunct/>
        <w:topLinePunct w:val="0"/>
        <w:autoSpaceDE/>
        <w:autoSpaceDN/>
        <w:bidi w:val="0"/>
        <w:adjustRightInd/>
        <w:spacing w:line="360" w:lineRule="auto"/>
        <w:ind w:left="0"/>
        <w:textAlignment w:val="auto"/>
        <w:rPr>
          <w:rFonts w:hint="eastAsia" w:ascii="宋体" w:hAnsi="宋体" w:eastAsia="宋体" w:cs="宋体"/>
          <w:b/>
          <w:color w:val="auto"/>
          <w:sz w:val="22"/>
          <w:szCs w:val="22"/>
          <w:highlight w:val="none"/>
          <w:shd w:val="clear" w:color="auto" w:fill="auto"/>
        </w:rPr>
      </w:pPr>
      <w:r>
        <w:rPr>
          <w:rFonts w:hint="eastAsia" w:ascii="宋体" w:hAnsi="宋体" w:eastAsia="宋体" w:cs="宋体"/>
          <w:b/>
          <w:color w:val="auto"/>
          <w:sz w:val="22"/>
          <w:szCs w:val="22"/>
          <w:highlight w:val="none"/>
          <w:shd w:val="clear" w:color="auto" w:fill="auto"/>
        </w:rPr>
        <w:t>第二条  双方权利和义务</w:t>
      </w:r>
    </w:p>
    <w:p>
      <w:pPr>
        <w:keepNext w:val="0"/>
        <w:keepLines w:val="0"/>
        <w:pageBreakBefore w:val="0"/>
        <w:kinsoku/>
        <w:wordWrap/>
        <w:overflowPunct/>
        <w:topLinePunct w:val="0"/>
        <w:autoSpaceDE/>
        <w:autoSpaceDN/>
        <w:bidi w:val="0"/>
        <w:adjustRightInd/>
        <w:spacing w:line="360" w:lineRule="auto"/>
        <w:ind w:left="0" w:firstLine="440" w:firstLineChars="200"/>
        <w:textAlignment w:val="auto"/>
        <w:rPr>
          <w:rFonts w:hint="eastAsia" w:ascii="宋体" w:hAnsi="宋体" w:eastAsia="宋体" w:cs="宋体"/>
          <w:b/>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1. 甲方权利</w:t>
      </w:r>
    </w:p>
    <w:p>
      <w:pPr>
        <w:keepNext w:val="0"/>
        <w:keepLines w:val="0"/>
        <w:pageBreakBefore w:val="0"/>
        <w:kinsoku/>
        <w:wordWrap/>
        <w:overflowPunct/>
        <w:topLinePunct w:val="0"/>
        <w:autoSpaceDE/>
        <w:autoSpaceDN/>
        <w:bidi w:val="0"/>
        <w:adjustRightInd/>
        <w:spacing w:line="360" w:lineRule="auto"/>
        <w:ind w:left="0"/>
        <w:textAlignment w:val="auto"/>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 xml:space="preserve">   （1）乙方提供的系统的总体架构维护和技术标准符合甲方客户要求。</w:t>
      </w:r>
    </w:p>
    <w:p>
      <w:pPr>
        <w:keepNext w:val="0"/>
        <w:keepLines w:val="0"/>
        <w:pageBreakBefore w:val="0"/>
        <w:kinsoku/>
        <w:wordWrap/>
        <w:overflowPunct/>
        <w:topLinePunct w:val="0"/>
        <w:autoSpaceDE/>
        <w:autoSpaceDN/>
        <w:bidi w:val="0"/>
        <w:adjustRightInd/>
        <w:spacing w:line="360" w:lineRule="auto"/>
        <w:ind w:left="0"/>
        <w:textAlignment w:val="auto"/>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 xml:space="preserve">   （2）系统开发应遵循开放系统的原则，能提供符合国际、国家、行业等标准的通信、网络、操作系统和数据库管理系统等方面的接口和协议，并为今后的二次开发预留接口和开放协议。</w:t>
      </w:r>
    </w:p>
    <w:p>
      <w:pPr>
        <w:keepNext w:val="0"/>
        <w:keepLines w:val="0"/>
        <w:pageBreakBefore w:val="0"/>
        <w:kinsoku/>
        <w:wordWrap/>
        <w:overflowPunct/>
        <w:topLinePunct w:val="0"/>
        <w:autoSpaceDE/>
        <w:autoSpaceDN/>
        <w:bidi w:val="0"/>
        <w:adjustRightInd/>
        <w:spacing w:line="360" w:lineRule="auto"/>
        <w:ind w:left="0"/>
        <w:textAlignment w:val="auto"/>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 xml:space="preserve">   （3）系统中的图像、数据等管理权、所有权归属甲方，未经甲方同意，乙方不得私自泄露、转让、提供给第三方使用。</w:t>
      </w:r>
    </w:p>
    <w:p>
      <w:pPr>
        <w:keepNext w:val="0"/>
        <w:keepLines w:val="0"/>
        <w:pageBreakBefore w:val="0"/>
        <w:kinsoku/>
        <w:wordWrap/>
        <w:overflowPunct/>
        <w:topLinePunct w:val="0"/>
        <w:autoSpaceDE/>
        <w:autoSpaceDN/>
        <w:bidi w:val="0"/>
        <w:adjustRightInd/>
        <w:spacing w:line="360" w:lineRule="auto"/>
        <w:ind w:left="0"/>
        <w:textAlignment w:val="auto"/>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 xml:space="preserve">   （4）系统平台的账号管理权、图像应用及管理权归属甲方。</w:t>
      </w:r>
    </w:p>
    <w:p>
      <w:pPr>
        <w:keepNext w:val="0"/>
        <w:keepLines w:val="0"/>
        <w:pageBreakBefore w:val="0"/>
        <w:kinsoku/>
        <w:wordWrap/>
        <w:overflowPunct/>
        <w:topLinePunct w:val="0"/>
        <w:autoSpaceDE/>
        <w:autoSpaceDN/>
        <w:bidi w:val="0"/>
        <w:adjustRightInd/>
        <w:spacing w:line="360" w:lineRule="auto"/>
        <w:ind w:left="0" w:firstLine="440" w:firstLineChars="200"/>
        <w:textAlignment w:val="auto"/>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2. 甲方的义务</w:t>
      </w:r>
    </w:p>
    <w:p>
      <w:pPr>
        <w:keepNext w:val="0"/>
        <w:keepLines w:val="0"/>
        <w:pageBreakBefore w:val="0"/>
        <w:kinsoku/>
        <w:wordWrap/>
        <w:overflowPunct/>
        <w:topLinePunct w:val="0"/>
        <w:autoSpaceDE/>
        <w:autoSpaceDN/>
        <w:bidi w:val="0"/>
        <w:adjustRightInd/>
        <w:spacing w:line="360" w:lineRule="auto"/>
        <w:ind w:left="0"/>
        <w:textAlignment w:val="auto"/>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 xml:space="preserve">   （1）合理使用相关的电路与数据，不得将用于系统相关的电路与数据进行经营性活动，转租、转让给其他任何单位或个人使用。</w:t>
      </w:r>
    </w:p>
    <w:p>
      <w:pPr>
        <w:keepNext w:val="0"/>
        <w:keepLines w:val="0"/>
        <w:pageBreakBefore w:val="0"/>
        <w:kinsoku/>
        <w:wordWrap/>
        <w:overflowPunct/>
        <w:topLinePunct w:val="0"/>
        <w:autoSpaceDE/>
        <w:autoSpaceDN/>
        <w:bidi w:val="0"/>
        <w:adjustRightInd/>
        <w:spacing w:line="360" w:lineRule="auto"/>
        <w:ind w:left="0"/>
        <w:textAlignment w:val="auto"/>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 xml:space="preserve">   （2）保证由甲方客户自行投资的为系统共享平台的有关系统符合国家主管部门规定的质量标准和技术要求，保证符合相关的技术标准和规范。</w:t>
      </w:r>
    </w:p>
    <w:p>
      <w:pPr>
        <w:keepNext w:val="0"/>
        <w:keepLines w:val="0"/>
        <w:pageBreakBefore w:val="0"/>
        <w:kinsoku/>
        <w:wordWrap/>
        <w:overflowPunct/>
        <w:topLinePunct w:val="0"/>
        <w:autoSpaceDE/>
        <w:autoSpaceDN/>
        <w:bidi w:val="0"/>
        <w:adjustRightInd/>
        <w:spacing w:line="360" w:lineRule="auto"/>
        <w:ind w:left="0"/>
        <w:textAlignment w:val="auto"/>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 xml:space="preserve">   （3）</w:t>
      </w:r>
      <w:bookmarkStart w:id="171" w:name="PT_1"/>
      <w:r>
        <w:rPr>
          <w:rFonts w:hint="eastAsia" w:ascii="宋体" w:hAnsi="宋体" w:eastAsia="宋体" w:cs="宋体"/>
          <w:color w:val="auto"/>
          <w:sz w:val="22"/>
          <w:szCs w:val="22"/>
          <w:highlight w:val="none"/>
          <w:shd w:val="clear" w:color="auto" w:fill="auto"/>
        </w:rPr>
        <w:t>甲方应根据合同规定按时交纳相关费用</w:t>
      </w:r>
      <w:bookmarkEnd w:id="171"/>
      <w:r>
        <w:rPr>
          <w:rFonts w:hint="eastAsia" w:ascii="宋体" w:hAnsi="宋体" w:eastAsia="宋体" w:cs="宋体"/>
          <w:color w:val="auto"/>
          <w:sz w:val="22"/>
          <w:szCs w:val="22"/>
          <w:highlight w:val="none"/>
          <w:shd w:val="clear" w:color="auto" w:fill="auto"/>
        </w:rPr>
        <w:t>。</w:t>
      </w:r>
    </w:p>
    <w:p>
      <w:pPr>
        <w:keepNext w:val="0"/>
        <w:keepLines w:val="0"/>
        <w:pageBreakBefore w:val="0"/>
        <w:kinsoku/>
        <w:wordWrap/>
        <w:overflowPunct/>
        <w:topLinePunct w:val="0"/>
        <w:autoSpaceDE/>
        <w:autoSpaceDN/>
        <w:bidi w:val="0"/>
        <w:adjustRightInd/>
        <w:spacing w:line="360" w:lineRule="auto"/>
        <w:ind w:left="0"/>
        <w:textAlignment w:val="auto"/>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 xml:space="preserve">   （4）甲方应做好乙方进行客户系统维护服务工作中的相关协调事宜和各项准备工作。主要包括</w:t>
      </w:r>
    </w:p>
    <w:p>
      <w:pPr>
        <w:keepNext w:val="0"/>
        <w:keepLines w:val="0"/>
        <w:pageBreakBefore w:val="0"/>
        <w:numPr>
          <w:ilvl w:val="0"/>
          <w:numId w:val="2"/>
        </w:numPr>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s="宋体"/>
          <w:color w:val="auto"/>
          <w:sz w:val="22"/>
          <w:szCs w:val="22"/>
          <w:highlight w:val="none"/>
          <w:shd w:val="clear" w:color="auto" w:fill="auto"/>
        </w:rPr>
      </w:pPr>
      <w:r>
        <w:rPr>
          <w:rFonts w:hint="eastAsia" w:ascii="宋体" w:hAnsi="宋体" w:eastAsia="宋体" w:cs="宋体"/>
          <w:bCs/>
          <w:color w:val="auto"/>
          <w:kern w:val="0"/>
          <w:sz w:val="22"/>
          <w:szCs w:val="22"/>
          <w:highlight w:val="none"/>
          <w:shd w:val="clear" w:color="auto" w:fill="auto"/>
        </w:rPr>
        <w:t>合同签订后，甲方必须及时指定各子项目负责人；</w:t>
      </w:r>
    </w:p>
    <w:p>
      <w:pPr>
        <w:keepNext w:val="0"/>
        <w:keepLines w:val="0"/>
        <w:pageBreakBefore w:val="0"/>
        <w:numPr>
          <w:ilvl w:val="0"/>
          <w:numId w:val="2"/>
        </w:numPr>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s="宋体"/>
          <w:color w:val="auto"/>
          <w:sz w:val="22"/>
          <w:szCs w:val="22"/>
          <w:highlight w:val="none"/>
          <w:shd w:val="clear" w:color="auto" w:fill="auto"/>
        </w:rPr>
      </w:pPr>
      <w:r>
        <w:rPr>
          <w:rFonts w:hint="eastAsia" w:ascii="宋体" w:hAnsi="宋体" w:eastAsia="宋体" w:cs="宋体"/>
          <w:bCs/>
          <w:color w:val="auto"/>
          <w:kern w:val="0"/>
          <w:sz w:val="22"/>
          <w:szCs w:val="22"/>
          <w:highlight w:val="none"/>
          <w:shd w:val="clear" w:color="auto" w:fill="auto"/>
        </w:rPr>
        <w:t>入网的组织、协调；保证其入网的各机构配合乙方的安装和调测工作；</w:t>
      </w:r>
    </w:p>
    <w:p>
      <w:pPr>
        <w:keepNext w:val="0"/>
        <w:keepLines w:val="0"/>
        <w:pageBreakBefore w:val="0"/>
        <w:numPr>
          <w:ilvl w:val="0"/>
          <w:numId w:val="2"/>
        </w:numPr>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配合乙方做好前期准备工作；</w:t>
      </w:r>
    </w:p>
    <w:p>
      <w:pPr>
        <w:keepNext w:val="0"/>
        <w:keepLines w:val="0"/>
        <w:pageBreakBefore w:val="0"/>
        <w:kinsoku/>
        <w:wordWrap/>
        <w:overflowPunct/>
        <w:topLinePunct w:val="0"/>
        <w:autoSpaceDE/>
        <w:autoSpaceDN/>
        <w:bidi w:val="0"/>
        <w:adjustRightInd/>
        <w:spacing w:line="360" w:lineRule="auto"/>
        <w:ind w:left="0" w:firstLine="440" w:firstLineChars="200"/>
        <w:textAlignment w:val="auto"/>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3. 乙方的权利</w:t>
      </w:r>
    </w:p>
    <w:p>
      <w:pPr>
        <w:keepNext w:val="0"/>
        <w:keepLines w:val="0"/>
        <w:pageBreakBefore w:val="0"/>
        <w:kinsoku/>
        <w:wordWrap/>
        <w:overflowPunct/>
        <w:topLinePunct w:val="0"/>
        <w:autoSpaceDE/>
        <w:autoSpaceDN/>
        <w:bidi w:val="0"/>
        <w:adjustRightInd/>
        <w:spacing w:line="360" w:lineRule="auto"/>
        <w:ind w:left="0"/>
        <w:textAlignment w:val="auto"/>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 xml:space="preserve">   （1）乙方有权按照本合同，收取相关费用，以保证甲方系统整体的正常运行。</w:t>
      </w:r>
    </w:p>
    <w:p>
      <w:pPr>
        <w:keepNext w:val="0"/>
        <w:keepLines w:val="0"/>
        <w:pageBreakBefore w:val="0"/>
        <w:kinsoku/>
        <w:wordWrap/>
        <w:overflowPunct/>
        <w:topLinePunct w:val="0"/>
        <w:autoSpaceDE/>
        <w:autoSpaceDN/>
        <w:bidi w:val="0"/>
        <w:adjustRightInd/>
        <w:spacing w:line="360" w:lineRule="auto"/>
        <w:ind w:left="0"/>
        <w:textAlignment w:val="auto"/>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 xml:space="preserve">   （2）如甲方在签署合同后，不能按时履行付款义务（</w:t>
      </w:r>
      <w:r>
        <w:rPr>
          <w:rFonts w:hint="eastAsia" w:ascii="宋体" w:hAnsi="宋体" w:eastAsia="宋体" w:cs="宋体"/>
          <w:color w:val="auto"/>
          <w:sz w:val="22"/>
          <w:szCs w:val="22"/>
          <w:highlight w:val="none"/>
          <w:u w:val="single"/>
          <w:shd w:val="clear" w:color="auto" w:fill="auto"/>
        </w:rPr>
        <w:t>/</w:t>
      </w:r>
      <w:r>
        <w:rPr>
          <w:rFonts w:hint="eastAsia" w:ascii="宋体" w:hAnsi="宋体" w:eastAsia="宋体" w:cs="宋体"/>
          <w:color w:val="auto"/>
          <w:sz w:val="22"/>
          <w:szCs w:val="22"/>
          <w:highlight w:val="none"/>
          <w:shd w:val="clear" w:color="auto" w:fill="auto"/>
        </w:rPr>
        <w:t>），乙方按照合同约定，有权停止甲方的本合同项下有关的服务和业务，并有权对所欠费用进行追缴。</w:t>
      </w:r>
    </w:p>
    <w:p>
      <w:pPr>
        <w:keepNext w:val="0"/>
        <w:keepLines w:val="0"/>
        <w:pageBreakBefore w:val="0"/>
        <w:kinsoku/>
        <w:wordWrap/>
        <w:overflowPunct/>
        <w:topLinePunct w:val="0"/>
        <w:autoSpaceDE/>
        <w:autoSpaceDN/>
        <w:bidi w:val="0"/>
        <w:adjustRightInd/>
        <w:spacing w:line="360" w:lineRule="auto"/>
        <w:ind w:left="0"/>
        <w:textAlignment w:val="auto"/>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 xml:space="preserve">    4. 乙方的义务</w:t>
      </w:r>
    </w:p>
    <w:p>
      <w:pPr>
        <w:keepNext w:val="0"/>
        <w:keepLines w:val="0"/>
        <w:pageBreakBefore w:val="0"/>
        <w:kinsoku/>
        <w:wordWrap/>
        <w:overflowPunct/>
        <w:topLinePunct w:val="0"/>
        <w:autoSpaceDE/>
        <w:autoSpaceDN/>
        <w:bidi w:val="0"/>
        <w:adjustRightInd/>
        <w:spacing w:line="360" w:lineRule="auto"/>
        <w:ind w:left="0"/>
        <w:textAlignment w:val="auto"/>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 xml:space="preserve">   （1）乙方保证所提供的维护服务达到整套系统运行质量要求，符合相关的技术标准和规范要求，保证满足甲方客户正常工作需求。</w:t>
      </w:r>
    </w:p>
    <w:p>
      <w:pPr>
        <w:keepNext w:val="0"/>
        <w:keepLines w:val="0"/>
        <w:pageBreakBefore w:val="0"/>
        <w:kinsoku/>
        <w:wordWrap/>
        <w:overflowPunct/>
        <w:topLinePunct w:val="0"/>
        <w:autoSpaceDE/>
        <w:autoSpaceDN/>
        <w:bidi w:val="0"/>
        <w:adjustRightInd/>
        <w:spacing w:line="360" w:lineRule="auto"/>
        <w:ind w:left="0"/>
        <w:textAlignment w:val="auto"/>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 xml:space="preserve">   （2）乙方所提供的维护服务质量应符合国家电信主管部门的质量标准和技术要求，满足甲方客户系统整体运营需求。</w:t>
      </w:r>
    </w:p>
    <w:p>
      <w:pPr>
        <w:keepNext w:val="0"/>
        <w:keepLines w:val="0"/>
        <w:pageBreakBefore w:val="0"/>
        <w:kinsoku/>
        <w:wordWrap/>
        <w:overflowPunct/>
        <w:topLinePunct w:val="0"/>
        <w:autoSpaceDE/>
        <w:autoSpaceDN/>
        <w:bidi w:val="0"/>
        <w:adjustRightInd/>
        <w:spacing w:line="360" w:lineRule="auto"/>
        <w:ind w:left="0"/>
        <w:textAlignment w:val="auto"/>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 xml:space="preserve">   （3）乙方负责建立健全系统维护服务的技术档案和维护档案并提供给甲方。</w:t>
      </w:r>
    </w:p>
    <w:p>
      <w:pPr>
        <w:keepNext w:val="0"/>
        <w:keepLines w:val="0"/>
        <w:pageBreakBefore w:val="0"/>
        <w:kinsoku/>
        <w:wordWrap/>
        <w:overflowPunct/>
        <w:topLinePunct w:val="0"/>
        <w:autoSpaceDE/>
        <w:autoSpaceDN/>
        <w:bidi w:val="0"/>
        <w:adjustRightInd/>
        <w:spacing w:line="360" w:lineRule="auto"/>
        <w:ind w:left="0"/>
        <w:textAlignment w:val="auto"/>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 xml:space="preserve">   （4）乙方为甲方提供及时优质的服务，保障网络的运行稳定，负责故障的全程处理，乙方将提供365天7×24小时热线电话服务，并根据合同内容进行相关维护。</w:t>
      </w:r>
    </w:p>
    <w:p>
      <w:pPr>
        <w:keepNext w:val="0"/>
        <w:keepLines w:val="0"/>
        <w:pageBreakBefore w:val="0"/>
        <w:kinsoku/>
        <w:wordWrap/>
        <w:overflowPunct/>
        <w:topLinePunct w:val="0"/>
        <w:autoSpaceDE/>
        <w:autoSpaceDN/>
        <w:bidi w:val="0"/>
        <w:adjustRightInd/>
        <w:spacing w:line="360" w:lineRule="auto"/>
        <w:ind w:left="0"/>
        <w:textAlignment w:val="auto"/>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 xml:space="preserve">   （5）乙方应制定应急维护机制，如遇平台技术升级等，应提前48小时通知甲方，说明可能造成的影响和范围，并经甲方同意。每次平台技术升级在6小时内完成，并采取相应措施，确保系统数据安全。</w:t>
      </w:r>
    </w:p>
    <w:p>
      <w:pPr>
        <w:keepNext w:val="0"/>
        <w:keepLines w:val="0"/>
        <w:pageBreakBefore w:val="0"/>
        <w:kinsoku/>
        <w:wordWrap/>
        <w:overflowPunct/>
        <w:topLinePunct w:val="0"/>
        <w:autoSpaceDE/>
        <w:autoSpaceDN/>
        <w:bidi w:val="0"/>
        <w:adjustRightInd/>
        <w:spacing w:line="360" w:lineRule="auto"/>
        <w:ind w:left="0"/>
        <w:textAlignment w:val="auto"/>
        <w:rPr>
          <w:rFonts w:hint="eastAsia" w:ascii="宋体" w:hAnsi="宋体" w:eastAsia="宋体" w:cs="宋体"/>
          <w:color w:val="auto"/>
          <w:sz w:val="22"/>
          <w:szCs w:val="22"/>
          <w:highlight w:val="none"/>
          <w:u w:val="single"/>
          <w:shd w:val="clear" w:color="auto" w:fill="auto"/>
        </w:rPr>
      </w:pPr>
      <w:r>
        <w:rPr>
          <w:rFonts w:hint="eastAsia" w:ascii="宋体" w:hAnsi="宋体" w:eastAsia="宋体" w:cs="宋体"/>
          <w:color w:val="auto"/>
          <w:sz w:val="22"/>
          <w:szCs w:val="22"/>
          <w:highlight w:val="none"/>
          <w:shd w:val="clear" w:color="auto" w:fill="auto"/>
        </w:rPr>
        <w:t xml:space="preserve">   （6）乙方除不可抗拒的因素（包含战争、自然灾害等不可抗力的客观因素）外，应在签订合同后</w:t>
      </w:r>
      <w:r>
        <w:rPr>
          <w:rFonts w:hint="eastAsia" w:ascii="宋体" w:hAnsi="宋体" w:eastAsia="宋体" w:cs="宋体"/>
          <w:color w:val="auto"/>
          <w:sz w:val="22"/>
          <w:szCs w:val="22"/>
          <w:highlight w:val="none"/>
          <w:u w:val="single"/>
          <w:shd w:val="clear" w:color="auto" w:fill="auto"/>
          <w:lang w:val="en-US" w:eastAsia="zh-CN"/>
        </w:rPr>
        <w:t>45</w:t>
      </w:r>
      <w:r>
        <w:rPr>
          <w:rFonts w:hint="eastAsia" w:ascii="宋体" w:hAnsi="宋体" w:eastAsia="宋体" w:cs="宋体"/>
          <w:color w:val="auto"/>
          <w:sz w:val="22"/>
          <w:szCs w:val="22"/>
          <w:highlight w:val="none"/>
          <w:shd w:val="clear" w:color="auto" w:fill="auto"/>
        </w:rPr>
        <w:t>日内完成整体系统调试工作，并为甲方提供后续设系统调试服务升级工作。</w:t>
      </w:r>
    </w:p>
    <w:p>
      <w:pPr>
        <w:keepNext w:val="0"/>
        <w:keepLines w:val="0"/>
        <w:pageBreakBefore w:val="0"/>
        <w:kinsoku/>
        <w:wordWrap/>
        <w:overflowPunct/>
        <w:topLinePunct w:val="0"/>
        <w:autoSpaceDE/>
        <w:autoSpaceDN/>
        <w:bidi w:val="0"/>
        <w:adjustRightInd/>
        <w:spacing w:line="360" w:lineRule="auto"/>
        <w:ind w:left="0" w:firstLine="330" w:firstLineChars="150"/>
        <w:textAlignment w:val="auto"/>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（7）其他约定：</w:t>
      </w:r>
      <w:r>
        <w:rPr>
          <w:rFonts w:hint="eastAsia" w:ascii="宋体" w:hAnsi="宋体" w:eastAsia="宋体" w:cs="宋体"/>
          <w:color w:val="auto"/>
          <w:sz w:val="22"/>
          <w:szCs w:val="22"/>
          <w:highlight w:val="none"/>
          <w:u w:val="single"/>
          <w:shd w:val="clear" w:color="auto" w:fill="auto"/>
        </w:rPr>
        <w:t>合同到期后，乙方将项目所涉及内容整体移交甲方。</w:t>
      </w:r>
    </w:p>
    <w:p>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color w:val="auto"/>
          <w:sz w:val="22"/>
          <w:szCs w:val="22"/>
          <w:highlight w:val="none"/>
          <w:shd w:val="clear" w:color="auto" w:fill="auto"/>
        </w:rPr>
      </w:pPr>
      <w:r>
        <w:rPr>
          <w:rFonts w:hint="eastAsia" w:ascii="宋体" w:hAnsi="宋体" w:eastAsia="宋体" w:cs="宋体"/>
          <w:b/>
          <w:color w:val="auto"/>
          <w:kern w:val="0"/>
          <w:sz w:val="22"/>
          <w:szCs w:val="22"/>
          <w:highlight w:val="none"/>
          <w:shd w:val="clear" w:color="auto" w:fill="auto"/>
        </w:rPr>
        <w:t>第三条  项目内容、</w:t>
      </w:r>
      <w:r>
        <w:rPr>
          <w:rFonts w:hint="eastAsia" w:ascii="宋体" w:hAnsi="宋体" w:eastAsia="宋体" w:cs="宋体"/>
          <w:b/>
          <w:color w:val="auto"/>
          <w:sz w:val="22"/>
          <w:szCs w:val="22"/>
          <w:highlight w:val="none"/>
          <w:shd w:val="clear" w:color="auto" w:fill="auto"/>
        </w:rPr>
        <w:t>合同金额、付款方式</w:t>
      </w:r>
    </w:p>
    <w:p>
      <w:pPr>
        <w:keepNext w:val="0"/>
        <w:keepLines w:val="0"/>
        <w:pageBreakBefore w:val="0"/>
        <w:kinsoku/>
        <w:wordWrap/>
        <w:overflowPunct/>
        <w:topLinePunct w:val="0"/>
        <w:autoSpaceDE/>
        <w:autoSpaceDN/>
        <w:bidi w:val="0"/>
        <w:adjustRightInd/>
        <w:spacing w:line="360" w:lineRule="auto"/>
        <w:ind w:left="0" w:firstLine="441"/>
        <w:textAlignment w:val="auto"/>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1.</w:t>
      </w:r>
      <w:r>
        <w:rPr>
          <w:rFonts w:hint="eastAsia" w:ascii="宋体" w:hAnsi="宋体" w:eastAsia="宋体" w:cs="宋体"/>
          <w:color w:val="auto"/>
          <w:kern w:val="0"/>
          <w:sz w:val="22"/>
          <w:szCs w:val="22"/>
          <w:highlight w:val="none"/>
          <w:shd w:val="clear" w:color="auto" w:fill="auto"/>
        </w:rPr>
        <w:t>项目内容</w:t>
      </w:r>
    </w:p>
    <w:p>
      <w:pPr>
        <w:keepNext w:val="0"/>
        <w:keepLines w:val="0"/>
        <w:pageBreakBefore w:val="0"/>
        <w:kinsoku/>
        <w:wordWrap/>
        <w:overflowPunct/>
        <w:topLinePunct w:val="0"/>
        <w:autoSpaceDE/>
        <w:autoSpaceDN/>
        <w:bidi w:val="0"/>
        <w:adjustRightInd/>
        <w:spacing w:line="360" w:lineRule="auto"/>
        <w:ind w:left="0" w:firstLine="465"/>
        <w:textAlignment w:val="auto"/>
        <w:rPr>
          <w:rFonts w:hint="eastAsia" w:ascii="宋体" w:hAnsi="宋体" w:eastAsia="宋体" w:cs="宋体"/>
          <w:bCs/>
          <w:color w:val="auto"/>
          <w:sz w:val="22"/>
          <w:szCs w:val="22"/>
          <w:highlight w:val="none"/>
          <w:shd w:val="clear" w:color="auto" w:fill="auto"/>
          <w:lang w:val="zh-CN"/>
        </w:rPr>
      </w:pPr>
      <w:r>
        <w:rPr>
          <w:rFonts w:hint="eastAsia" w:ascii="宋体" w:hAnsi="宋体" w:eastAsia="宋体" w:cs="宋体"/>
          <w:color w:val="auto"/>
          <w:sz w:val="22"/>
          <w:szCs w:val="22"/>
          <w:highlight w:val="none"/>
          <w:shd w:val="clear" w:color="auto" w:fill="auto"/>
        </w:rPr>
        <w:t>项目内容为：</w:t>
      </w:r>
      <w:r>
        <w:rPr>
          <w:rFonts w:hint="eastAsia" w:ascii="宋体" w:hAnsi="宋体" w:eastAsia="宋体" w:cs="宋体"/>
          <w:color w:val="auto"/>
          <w:sz w:val="22"/>
          <w:szCs w:val="22"/>
          <w:highlight w:val="none"/>
          <w:u w:val="single"/>
          <w:shd w:val="clear" w:color="auto" w:fill="auto"/>
        </w:rPr>
        <w:t>标准化考场网上巡查系统改建</w:t>
      </w:r>
      <w:r>
        <w:rPr>
          <w:rFonts w:hint="eastAsia" w:ascii="宋体" w:hAnsi="宋体" w:eastAsia="宋体" w:cs="宋体"/>
          <w:color w:val="auto"/>
          <w:sz w:val="22"/>
          <w:szCs w:val="22"/>
          <w:highlight w:val="none"/>
          <w:u w:val="none"/>
          <w:shd w:val="clear" w:color="auto" w:fill="auto"/>
          <w:lang w:eastAsia="zh-CN"/>
        </w:rPr>
        <w:t>，</w:t>
      </w:r>
      <w:r>
        <w:rPr>
          <w:rFonts w:hint="eastAsia" w:ascii="宋体" w:hAnsi="宋体" w:eastAsia="宋体" w:cs="宋体"/>
          <w:bCs/>
          <w:color w:val="auto"/>
          <w:sz w:val="22"/>
          <w:szCs w:val="22"/>
          <w:highlight w:val="none"/>
          <w:shd w:val="clear" w:color="auto" w:fill="auto"/>
          <w:lang w:val="zh-CN"/>
        </w:rPr>
        <w:t>具体涉及的项目清单详见</w:t>
      </w:r>
      <w:r>
        <w:rPr>
          <w:rFonts w:hint="eastAsia" w:ascii="宋体" w:hAnsi="宋体" w:eastAsia="宋体" w:cs="宋体"/>
          <w:bCs/>
          <w:color w:val="auto"/>
          <w:sz w:val="22"/>
          <w:szCs w:val="22"/>
          <w:highlight w:val="none"/>
          <w:shd w:val="clear" w:color="auto" w:fill="auto"/>
          <w:lang w:val="en-US" w:eastAsia="zh-CN"/>
        </w:rPr>
        <w:t>第四部分采购内容及要求</w:t>
      </w:r>
      <w:r>
        <w:rPr>
          <w:rFonts w:hint="eastAsia" w:ascii="宋体" w:hAnsi="宋体" w:eastAsia="宋体" w:cs="宋体"/>
          <w:bCs/>
          <w:color w:val="auto"/>
          <w:sz w:val="22"/>
          <w:szCs w:val="22"/>
          <w:highlight w:val="none"/>
          <w:shd w:val="clear" w:color="auto" w:fill="auto"/>
          <w:lang w:val="zh-CN"/>
        </w:rPr>
        <w:t>。</w:t>
      </w:r>
    </w:p>
    <w:p>
      <w:pPr>
        <w:keepNext w:val="0"/>
        <w:keepLines w:val="0"/>
        <w:pageBreakBefore w:val="0"/>
        <w:kinsoku/>
        <w:wordWrap/>
        <w:overflowPunct/>
        <w:topLinePunct w:val="0"/>
        <w:autoSpaceDE/>
        <w:autoSpaceDN/>
        <w:bidi w:val="0"/>
        <w:adjustRightInd/>
        <w:spacing w:line="360" w:lineRule="auto"/>
        <w:ind w:left="0"/>
        <w:textAlignment w:val="auto"/>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 xml:space="preserve">    2.合同金额</w:t>
      </w:r>
    </w:p>
    <w:p>
      <w:pPr>
        <w:keepNext w:val="0"/>
        <w:keepLines w:val="0"/>
        <w:pageBreakBefore w:val="0"/>
        <w:kinsoku/>
        <w:wordWrap/>
        <w:overflowPunct/>
        <w:topLinePunct w:val="0"/>
        <w:autoSpaceDE/>
        <w:autoSpaceDN/>
        <w:bidi w:val="0"/>
        <w:adjustRightInd/>
        <w:spacing w:line="360" w:lineRule="auto"/>
        <w:ind w:left="0" w:firstLine="440" w:firstLineChars="200"/>
        <w:textAlignment w:val="auto"/>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合同总金额</w:t>
      </w:r>
      <w:r>
        <w:rPr>
          <w:rFonts w:hint="eastAsia" w:ascii="宋体" w:hAnsi="宋体" w:eastAsia="宋体" w:cs="宋体"/>
          <w:color w:val="auto"/>
          <w:sz w:val="22"/>
          <w:szCs w:val="22"/>
          <w:highlight w:val="none"/>
          <w:u w:val="single"/>
          <w:shd w:val="clear" w:color="auto" w:fill="auto"/>
          <w:lang w:val="en-US" w:eastAsia="zh-CN"/>
        </w:rPr>
        <w:t xml:space="preserve">      </w:t>
      </w:r>
      <w:r>
        <w:rPr>
          <w:rFonts w:hint="eastAsia" w:ascii="宋体" w:hAnsi="宋体" w:eastAsia="宋体" w:cs="宋体"/>
          <w:color w:val="auto"/>
          <w:sz w:val="22"/>
          <w:szCs w:val="22"/>
          <w:highlight w:val="none"/>
          <w:shd w:val="clear" w:color="auto" w:fill="auto"/>
        </w:rPr>
        <w:t>，大写：人民币</w:t>
      </w:r>
      <w:r>
        <w:rPr>
          <w:rFonts w:hint="eastAsia" w:ascii="宋体" w:hAnsi="宋体" w:eastAsia="宋体" w:cs="宋体"/>
          <w:color w:val="auto"/>
          <w:sz w:val="22"/>
          <w:szCs w:val="22"/>
          <w:highlight w:val="none"/>
          <w:u w:val="single"/>
          <w:shd w:val="clear" w:color="auto" w:fill="auto"/>
          <w:lang w:val="en-US" w:eastAsia="zh-CN"/>
        </w:rPr>
        <w:t xml:space="preserve">             </w:t>
      </w:r>
      <w:r>
        <w:rPr>
          <w:rFonts w:hint="eastAsia" w:ascii="宋体" w:hAnsi="宋体" w:eastAsia="宋体" w:cs="宋体"/>
          <w:color w:val="auto"/>
          <w:sz w:val="22"/>
          <w:szCs w:val="22"/>
          <w:highlight w:val="none"/>
          <w:shd w:val="clear" w:color="auto" w:fill="auto"/>
        </w:rPr>
        <w:t>。</w:t>
      </w:r>
    </w:p>
    <w:p>
      <w:pPr>
        <w:keepNext w:val="0"/>
        <w:keepLines w:val="0"/>
        <w:pageBreakBefore w:val="0"/>
        <w:kinsoku/>
        <w:wordWrap/>
        <w:overflowPunct/>
        <w:topLinePunct w:val="0"/>
        <w:autoSpaceDE/>
        <w:autoSpaceDN/>
        <w:bidi w:val="0"/>
        <w:adjustRightInd/>
        <w:spacing w:line="360" w:lineRule="auto"/>
        <w:ind w:left="0"/>
        <w:textAlignment w:val="auto"/>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 xml:space="preserve">    3.付款方式： </w:t>
      </w:r>
    </w:p>
    <w:p>
      <w:pPr>
        <w:keepNext w:val="0"/>
        <w:keepLines w:val="0"/>
        <w:pageBreakBefore w:val="0"/>
        <w:widowControl/>
        <w:kinsoku/>
        <w:wordWrap/>
        <w:overflowPunct/>
        <w:topLinePunct w:val="0"/>
        <w:autoSpaceDE/>
        <w:autoSpaceDN/>
        <w:bidi w:val="0"/>
        <w:adjustRightInd/>
        <w:snapToGrid w:val="0"/>
        <w:spacing w:line="360" w:lineRule="auto"/>
        <w:ind w:left="0" w:firstLine="440" w:firstLineChars="200"/>
        <w:jc w:val="left"/>
        <w:textAlignment w:val="auto"/>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项目款支付方式：</w:t>
      </w:r>
      <w:r>
        <w:rPr>
          <w:rFonts w:hint="eastAsia" w:ascii="宋体" w:hAnsi="宋体" w:eastAsia="宋体" w:cs="宋体"/>
          <w:color w:val="auto"/>
          <w:sz w:val="22"/>
          <w:szCs w:val="22"/>
          <w:highlight w:val="none"/>
          <w:u w:val="single"/>
          <w:shd w:val="clear" w:color="auto" w:fill="auto"/>
        </w:rPr>
        <w:t>转账</w:t>
      </w:r>
    </w:p>
    <w:p>
      <w:pPr>
        <w:keepNext w:val="0"/>
        <w:keepLines w:val="0"/>
        <w:pageBreakBefore w:val="0"/>
        <w:widowControl/>
        <w:kinsoku/>
        <w:wordWrap/>
        <w:overflowPunct/>
        <w:topLinePunct w:val="0"/>
        <w:autoSpaceDE/>
        <w:autoSpaceDN/>
        <w:bidi w:val="0"/>
        <w:adjustRightInd/>
        <w:snapToGrid w:val="0"/>
        <w:spacing w:line="360" w:lineRule="auto"/>
        <w:ind w:left="0" w:firstLine="440" w:firstLineChars="200"/>
        <w:jc w:val="left"/>
        <w:textAlignment w:val="auto"/>
        <w:rPr>
          <w:rFonts w:hint="eastAsia" w:ascii="宋体" w:hAnsi="宋体" w:eastAsia="宋体" w:cs="宋体"/>
          <w:color w:val="auto"/>
          <w:sz w:val="22"/>
          <w:szCs w:val="22"/>
          <w:highlight w:val="none"/>
          <w:shd w:val="clear" w:color="auto" w:fill="auto"/>
          <w:lang w:eastAsia="zh-CN"/>
        </w:rPr>
      </w:pPr>
      <w:r>
        <w:rPr>
          <w:rFonts w:hint="eastAsia" w:ascii="宋体" w:hAnsi="宋体" w:eastAsia="宋体" w:cs="宋体"/>
          <w:color w:val="auto"/>
          <w:sz w:val="22"/>
          <w:szCs w:val="22"/>
          <w:highlight w:val="none"/>
          <w:shd w:val="clear" w:color="auto" w:fill="auto"/>
        </w:rPr>
        <w:t>4.支付时间：</w:t>
      </w:r>
      <w:r>
        <w:rPr>
          <w:rFonts w:hint="eastAsia" w:ascii="宋体" w:hAnsi="宋体" w:eastAsia="宋体" w:cs="宋体"/>
          <w:color w:val="auto"/>
          <w:sz w:val="22"/>
          <w:szCs w:val="22"/>
          <w:highlight w:val="none"/>
          <w:u w:val="single"/>
          <w:shd w:val="clear" w:color="auto" w:fill="auto"/>
        </w:rPr>
        <w:t>在合同签订前，乙方须向甲方提供合同金额5%的履约保证金。</w:t>
      </w:r>
      <w:r>
        <w:rPr>
          <w:rFonts w:hint="eastAsia" w:ascii="宋体" w:hAnsi="宋体" w:eastAsia="宋体" w:cs="宋体"/>
          <w:color w:val="auto"/>
          <w:sz w:val="22"/>
          <w:szCs w:val="22"/>
          <w:highlight w:val="none"/>
          <w:u w:val="single"/>
          <w:shd w:val="clear" w:color="auto" w:fill="auto"/>
          <w:lang w:val="en-US" w:eastAsia="zh-CN"/>
        </w:rPr>
        <w:t>如乙方在签约前未提交履约保证金则甲方有权拒签合同。合同签订后，甲方向乙方支付合同金额的30%作为预付款。待</w:t>
      </w:r>
      <w:r>
        <w:rPr>
          <w:rFonts w:hint="eastAsia" w:ascii="宋体" w:hAnsi="宋体" w:eastAsia="宋体" w:cs="宋体"/>
          <w:color w:val="auto"/>
          <w:sz w:val="22"/>
          <w:szCs w:val="22"/>
          <w:highlight w:val="none"/>
          <w:u w:val="single"/>
          <w:shd w:val="clear" w:color="auto" w:fill="auto"/>
        </w:rPr>
        <w:t>项目</w:t>
      </w:r>
      <w:r>
        <w:rPr>
          <w:rFonts w:hint="eastAsia" w:ascii="宋体" w:hAnsi="宋体" w:eastAsia="宋体" w:cs="宋体"/>
          <w:color w:val="auto"/>
          <w:sz w:val="22"/>
          <w:szCs w:val="22"/>
          <w:highlight w:val="none"/>
          <w:u w:val="single"/>
          <w:shd w:val="clear" w:color="auto" w:fill="auto"/>
          <w:lang w:val="en-US" w:eastAsia="zh-CN"/>
        </w:rPr>
        <w:t>完成、通过最终验收、甲方资产入库后</w:t>
      </w:r>
      <w:r>
        <w:rPr>
          <w:rFonts w:hint="eastAsia" w:ascii="宋体" w:hAnsi="宋体" w:eastAsia="宋体" w:cs="宋体"/>
          <w:color w:val="auto"/>
          <w:sz w:val="22"/>
          <w:szCs w:val="22"/>
          <w:highlight w:val="none"/>
          <w:u w:val="single"/>
          <w:shd w:val="clear" w:color="auto" w:fill="auto"/>
        </w:rPr>
        <w:t>，甲方在十五个工作日内向乙方支付</w:t>
      </w:r>
      <w:r>
        <w:rPr>
          <w:rFonts w:hint="eastAsia" w:ascii="宋体" w:hAnsi="宋体" w:eastAsia="宋体" w:cs="宋体"/>
          <w:color w:val="auto"/>
          <w:sz w:val="22"/>
          <w:szCs w:val="22"/>
          <w:highlight w:val="none"/>
          <w:u w:val="single"/>
          <w:shd w:val="clear" w:color="auto" w:fill="auto"/>
          <w:lang w:val="en-US" w:eastAsia="zh-CN"/>
        </w:rPr>
        <w:t>至</w:t>
      </w:r>
      <w:r>
        <w:rPr>
          <w:rFonts w:hint="eastAsia" w:ascii="宋体" w:hAnsi="宋体" w:eastAsia="宋体" w:cs="宋体"/>
          <w:color w:val="auto"/>
          <w:sz w:val="22"/>
          <w:szCs w:val="22"/>
          <w:highlight w:val="none"/>
          <w:u w:val="single"/>
          <w:shd w:val="clear" w:color="auto" w:fill="auto"/>
        </w:rPr>
        <w:t>合同</w:t>
      </w:r>
      <w:r>
        <w:rPr>
          <w:rFonts w:hint="eastAsia" w:ascii="宋体" w:hAnsi="宋体" w:eastAsia="宋体" w:cs="宋体"/>
          <w:color w:val="auto"/>
          <w:sz w:val="22"/>
          <w:szCs w:val="22"/>
          <w:highlight w:val="none"/>
          <w:u w:val="single"/>
          <w:shd w:val="clear" w:color="auto" w:fill="auto"/>
          <w:lang w:val="en-US" w:eastAsia="zh-CN"/>
        </w:rPr>
        <w:t>金额</w:t>
      </w:r>
      <w:r>
        <w:rPr>
          <w:rFonts w:hint="eastAsia" w:ascii="宋体" w:hAnsi="宋体" w:eastAsia="宋体" w:cs="宋体"/>
          <w:color w:val="auto"/>
          <w:sz w:val="22"/>
          <w:szCs w:val="22"/>
          <w:highlight w:val="none"/>
          <w:u w:val="single"/>
          <w:shd w:val="clear" w:color="auto" w:fill="auto"/>
        </w:rPr>
        <w:t>100%</w:t>
      </w:r>
      <w:r>
        <w:rPr>
          <w:rFonts w:hint="eastAsia" w:ascii="宋体" w:hAnsi="宋体" w:eastAsia="宋体" w:cs="宋体"/>
          <w:color w:val="auto"/>
          <w:sz w:val="22"/>
          <w:szCs w:val="22"/>
          <w:highlight w:val="none"/>
          <w:u w:val="single"/>
          <w:shd w:val="clear" w:color="auto" w:fill="auto"/>
          <w:lang w:eastAsia="zh-CN"/>
        </w:rPr>
        <w:t>。（</w:t>
      </w:r>
      <w:r>
        <w:rPr>
          <w:rFonts w:hint="eastAsia" w:ascii="宋体" w:hAnsi="宋体" w:eastAsia="宋体" w:cs="宋体"/>
          <w:color w:val="auto"/>
          <w:sz w:val="22"/>
          <w:szCs w:val="22"/>
          <w:highlight w:val="none"/>
          <w:u w:val="single"/>
          <w:shd w:val="clear" w:color="auto" w:fill="auto"/>
          <w:lang w:val="en-US" w:eastAsia="zh-CN"/>
        </w:rPr>
        <w:t>在合同金额支付前，乙方必须开具与支付金额相等的正规有效的增值税普通发票。</w:t>
      </w:r>
      <w:r>
        <w:rPr>
          <w:rFonts w:hint="eastAsia" w:ascii="宋体" w:hAnsi="宋体" w:eastAsia="宋体" w:cs="宋体"/>
          <w:color w:val="auto"/>
          <w:sz w:val="22"/>
          <w:szCs w:val="22"/>
          <w:highlight w:val="none"/>
          <w:u w:val="single"/>
          <w:shd w:val="clear" w:color="auto" w:fill="auto"/>
          <w:lang w:eastAsia="zh-CN"/>
        </w:rPr>
        <w:t>）</w:t>
      </w:r>
    </w:p>
    <w:p>
      <w:pPr>
        <w:keepNext w:val="0"/>
        <w:keepLines w:val="0"/>
        <w:pageBreakBefore w:val="0"/>
        <w:widowControl/>
        <w:kinsoku/>
        <w:wordWrap/>
        <w:overflowPunct/>
        <w:topLinePunct w:val="0"/>
        <w:autoSpaceDE/>
        <w:autoSpaceDN/>
        <w:bidi w:val="0"/>
        <w:adjustRightInd/>
        <w:snapToGrid w:val="0"/>
        <w:spacing w:line="360" w:lineRule="auto"/>
        <w:ind w:left="0" w:firstLine="440" w:firstLineChars="200"/>
        <w:jc w:val="left"/>
        <w:textAlignment w:val="auto"/>
        <w:rPr>
          <w:rFonts w:hint="eastAsia" w:ascii="宋体" w:hAnsi="宋体" w:eastAsia="宋体" w:cs="宋体"/>
          <w:color w:val="auto"/>
          <w:sz w:val="22"/>
          <w:szCs w:val="22"/>
          <w:highlight w:val="none"/>
          <w:u w:val="single"/>
          <w:shd w:val="clear" w:color="auto" w:fill="auto"/>
          <w:lang w:val="en-US" w:eastAsia="zh-CN"/>
        </w:rPr>
      </w:pPr>
      <w:r>
        <w:rPr>
          <w:rFonts w:hint="eastAsia" w:ascii="宋体" w:hAnsi="宋体" w:eastAsia="宋体" w:cs="宋体"/>
          <w:color w:val="auto"/>
          <w:sz w:val="22"/>
          <w:szCs w:val="22"/>
          <w:highlight w:val="none"/>
          <w:shd w:val="clear" w:color="auto" w:fill="auto"/>
        </w:rPr>
        <w:t>5.其他约定：</w:t>
      </w:r>
      <w:r>
        <w:rPr>
          <w:rFonts w:hint="eastAsia" w:ascii="宋体" w:hAnsi="宋体" w:eastAsia="宋体" w:cs="宋体"/>
          <w:color w:val="auto"/>
          <w:sz w:val="22"/>
          <w:szCs w:val="22"/>
          <w:highlight w:val="none"/>
          <w:u w:val="single"/>
          <w:shd w:val="clear" w:color="auto" w:fill="auto"/>
          <w:lang w:val="en-US" w:eastAsia="zh-CN"/>
        </w:rPr>
        <w:t>待成交供应商完成本项目并通过最终验收、资产入库后，履约保证金转为质量保证金，待五年的质保期满后，若无质量问题，甲方在15个工作日内一次性将质量保证金无息退还给乙方。</w:t>
      </w:r>
    </w:p>
    <w:p>
      <w:pPr>
        <w:keepNext w:val="0"/>
        <w:keepLines w:val="0"/>
        <w:pageBreakBefore w:val="0"/>
        <w:kinsoku/>
        <w:wordWrap/>
        <w:overflowPunct/>
        <w:topLinePunct w:val="0"/>
        <w:autoSpaceDE/>
        <w:autoSpaceDN/>
        <w:bidi w:val="0"/>
        <w:adjustRightInd/>
        <w:spacing w:line="360" w:lineRule="auto"/>
        <w:ind w:left="0"/>
        <w:textAlignment w:val="auto"/>
        <w:rPr>
          <w:rFonts w:hint="eastAsia" w:ascii="宋体" w:hAnsi="宋体" w:eastAsia="宋体" w:cs="宋体"/>
          <w:b/>
          <w:color w:val="auto"/>
          <w:sz w:val="22"/>
          <w:szCs w:val="22"/>
          <w:highlight w:val="none"/>
          <w:shd w:val="clear" w:color="auto" w:fill="auto"/>
        </w:rPr>
      </w:pPr>
      <w:r>
        <w:rPr>
          <w:rFonts w:hint="eastAsia" w:ascii="宋体" w:hAnsi="宋体" w:eastAsia="宋体" w:cs="宋体"/>
          <w:b/>
          <w:color w:val="auto"/>
          <w:sz w:val="22"/>
          <w:szCs w:val="22"/>
          <w:highlight w:val="none"/>
          <w:shd w:val="clear" w:color="auto" w:fill="auto"/>
        </w:rPr>
        <w:t>第四条  保密</w:t>
      </w:r>
    </w:p>
    <w:p>
      <w:pPr>
        <w:keepNext w:val="0"/>
        <w:keepLines w:val="0"/>
        <w:pageBreakBefore w:val="0"/>
        <w:kinsoku/>
        <w:wordWrap/>
        <w:overflowPunct/>
        <w:topLinePunct w:val="0"/>
        <w:autoSpaceDE/>
        <w:autoSpaceDN/>
        <w:bidi w:val="0"/>
        <w:adjustRightInd/>
        <w:spacing w:line="360" w:lineRule="auto"/>
        <w:ind w:left="0"/>
        <w:textAlignment w:val="auto"/>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 xml:space="preserve">    1.未经对方书面许可，任何一方不得向第三方提供或披露与对方业务有关的资料和信息，法律另有规定的除外。</w:t>
      </w:r>
    </w:p>
    <w:p>
      <w:pPr>
        <w:keepNext w:val="0"/>
        <w:keepLines w:val="0"/>
        <w:pageBreakBefore w:val="0"/>
        <w:kinsoku/>
        <w:wordWrap/>
        <w:overflowPunct/>
        <w:topLinePunct w:val="0"/>
        <w:autoSpaceDE/>
        <w:autoSpaceDN/>
        <w:bidi w:val="0"/>
        <w:adjustRightInd/>
        <w:spacing w:line="360" w:lineRule="auto"/>
        <w:ind w:left="0" w:firstLine="480"/>
        <w:textAlignment w:val="auto"/>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2.本合同所涉及的甲乙双方在合作过程中所了解到对方的有关网络组织、业务发展、价格策略等商业机密时，双方均有义务为对方保密。</w:t>
      </w:r>
    </w:p>
    <w:p>
      <w:pPr>
        <w:keepNext w:val="0"/>
        <w:keepLines w:val="0"/>
        <w:pageBreakBefore w:val="0"/>
        <w:kinsoku/>
        <w:wordWrap/>
        <w:overflowPunct/>
        <w:topLinePunct w:val="0"/>
        <w:autoSpaceDE/>
        <w:autoSpaceDN/>
        <w:bidi w:val="0"/>
        <w:adjustRightInd/>
        <w:spacing w:line="360" w:lineRule="auto"/>
        <w:ind w:left="0" w:firstLine="480"/>
        <w:textAlignment w:val="auto"/>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3.其他约定：</w:t>
      </w:r>
      <w:r>
        <w:rPr>
          <w:rFonts w:hint="eastAsia" w:ascii="宋体" w:hAnsi="宋体" w:eastAsia="宋体" w:cs="宋体"/>
          <w:color w:val="auto"/>
          <w:sz w:val="22"/>
          <w:szCs w:val="22"/>
          <w:highlight w:val="none"/>
          <w:u w:val="single"/>
          <w:shd w:val="clear" w:color="auto" w:fill="auto"/>
        </w:rPr>
        <w:t>/</w:t>
      </w:r>
    </w:p>
    <w:p>
      <w:pPr>
        <w:keepNext w:val="0"/>
        <w:keepLines w:val="0"/>
        <w:pageBreakBefore w:val="0"/>
        <w:kinsoku/>
        <w:wordWrap/>
        <w:overflowPunct/>
        <w:topLinePunct w:val="0"/>
        <w:autoSpaceDE/>
        <w:autoSpaceDN/>
        <w:bidi w:val="0"/>
        <w:adjustRightInd/>
        <w:spacing w:line="360" w:lineRule="auto"/>
        <w:ind w:left="0"/>
        <w:textAlignment w:val="auto"/>
        <w:rPr>
          <w:rFonts w:hint="eastAsia" w:ascii="宋体" w:hAnsi="宋体" w:eastAsia="宋体" w:cs="宋体"/>
          <w:b/>
          <w:color w:val="auto"/>
          <w:sz w:val="22"/>
          <w:szCs w:val="22"/>
          <w:highlight w:val="none"/>
          <w:shd w:val="clear" w:color="auto" w:fill="auto"/>
        </w:rPr>
      </w:pPr>
      <w:r>
        <w:rPr>
          <w:rFonts w:hint="eastAsia" w:ascii="宋体" w:hAnsi="宋体" w:eastAsia="宋体" w:cs="宋体"/>
          <w:b/>
          <w:color w:val="auto"/>
          <w:sz w:val="22"/>
          <w:szCs w:val="22"/>
          <w:highlight w:val="none"/>
          <w:shd w:val="clear" w:color="auto" w:fill="auto"/>
        </w:rPr>
        <w:t>第五条  违约</w:t>
      </w:r>
    </w:p>
    <w:p>
      <w:pPr>
        <w:keepNext w:val="0"/>
        <w:keepLines w:val="0"/>
        <w:pageBreakBefore w:val="0"/>
        <w:kinsoku/>
        <w:wordWrap/>
        <w:overflowPunct/>
        <w:topLinePunct w:val="0"/>
        <w:autoSpaceDE/>
        <w:autoSpaceDN/>
        <w:bidi w:val="0"/>
        <w:adjustRightInd/>
        <w:spacing w:line="360" w:lineRule="auto"/>
        <w:ind w:left="0" w:firstLine="440" w:firstLineChars="200"/>
        <w:textAlignment w:val="auto"/>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任何一方未履行本合同项下的任何一项条款均被视为违约。任何一方在收到对方的具体说明违约情况的书面通知后，如确认违约行为存在，则应在二十天内对违约行为予以纠正并书面通知对方；如认为违约行为不存在，则应在二十天内向对方提出书面异议或说明。在此情形下，甲乙双方可就此问题进行协商，协商不成，按本合同争议条款解决。违约方应承担因自己的违约行为而造成的法律责任。</w:t>
      </w:r>
    </w:p>
    <w:p>
      <w:pPr>
        <w:keepNext w:val="0"/>
        <w:keepLines w:val="0"/>
        <w:pageBreakBefore w:val="0"/>
        <w:kinsoku/>
        <w:wordWrap/>
        <w:overflowPunct/>
        <w:topLinePunct w:val="0"/>
        <w:autoSpaceDE/>
        <w:autoSpaceDN/>
        <w:bidi w:val="0"/>
        <w:adjustRightInd/>
        <w:spacing w:line="360" w:lineRule="auto"/>
        <w:ind w:left="0" w:firstLine="440" w:firstLineChars="200"/>
        <w:textAlignment w:val="auto"/>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其他约定：</w:t>
      </w:r>
      <w:r>
        <w:rPr>
          <w:rFonts w:hint="eastAsia" w:ascii="宋体" w:hAnsi="宋体" w:eastAsia="宋体" w:cs="宋体"/>
          <w:color w:val="auto"/>
          <w:sz w:val="22"/>
          <w:szCs w:val="22"/>
          <w:highlight w:val="none"/>
          <w:u w:val="single"/>
          <w:shd w:val="clear" w:color="auto" w:fill="auto"/>
        </w:rPr>
        <w:t>/</w:t>
      </w:r>
    </w:p>
    <w:p>
      <w:pPr>
        <w:keepNext w:val="0"/>
        <w:keepLines w:val="0"/>
        <w:pageBreakBefore w:val="0"/>
        <w:kinsoku/>
        <w:wordWrap/>
        <w:overflowPunct/>
        <w:topLinePunct w:val="0"/>
        <w:autoSpaceDE/>
        <w:autoSpaceDN/>
        <w:bidi w:val="0"/>
        <w:adjustRightInd/>
        <w:spacing w:line="360" w:lineRule="auto"/>
        <w:ind w:left="0"/>
        <w:textAlignment w:val="auto"/>
        <w:rPr>
          <w:rFonts w:hint="eastAsia" w:ascii="宋体" w:hAnsi="宋体" w:eastAsia="宋体" w:cs="宋体"/>
          <w:b/>
          <w:color w:val="auto"/>
          <w:sz w:val="22"/>
          <w:szCs w:val="22"/>
          <w:highlight w:val="none"/>
          <w:shd w:val="clear" w:color="auto" w:fill="auto"/>
        </w:rPr>
      </w:pPr>
      <w:r>
        <w:rPr>
          <w:rFonts w:hint="eastAsia" w:ascii="宋体" w:hAnsi="宋体" w:eastAsia="宋体" w:cs="宋体"/>
          <w:b/>
          <w:color w:val="auto"/>
          <w:sz w:val="22"/>
          <w:szCs w:val="22"/>
          <w:highlight w:val="none"/>
          <w:shd w:val="clear" w:color="auto" w:fill="auto"/>
        </w:rPr>
        <w:t>第六条  争议解决</w:t>
      </w:r>
    </w:p>
    <w:p>
      <w:pPr>
        <w:keepNext w:val="0"/>
        <w:keepLines w:val="0"/>
        <w:pageBreakBefore w:val="0"/>
        <w:kinsoku/>
        <w:wordWrap/>
        <w:overflowPunct/>
        <w:topLinePunct w:val="0"/>
        <w:autoSpaceDE/>
        <w:autoSpaceDN/>
        <w:bidi w:val="0"/>
        <w:adjustRightInd/>
        <w:spacing w:line="360" w:lineRule="auto"/>
        <w:ind w:left="0"/>
        <w:textAlignment w:val="auto"/>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 xml:space="preserve">    1.执行期间出台新的法律法规和服务标准，则自新的法律法规和服务标准生效之日起按照新的法律法规和服务标准执行。</w:t>
      </w:r>
    </w:p>
    <w:p>
      <w:pPr>
        <w:keepNext w:val="0"/>
        <w:keepLines w:val="0"/>
        <w:pageBreakBefore w:val="0"/>
        <w:kinsoku/>
        <w:wordWrap/>
        <w:overflowPunct/>
        <w:topLinePunct w:val="0"/>
        <w:autoSpaceDE/>
        <w:autoSpaceDN/>
        <w:bidi w:val="0"/>
        <w:adjustRightInd/>
        <w:spacing w:line="360" w:lineRule="auto"/>
        <w:ind w:left="0"/>
        <w:textAlignment w:val="auto"/>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 xml:space="preserve">    2.双方一致同意建立协商制度，加强日常情况沟通，及时处理各项问题。</w:t>
      </w:r>
    </w:p>
    <w:p>
      <w:pPr>
        <w:keepNext w:val="0"/>
        <w:keepLines w:val="0"/>
        <w:pageBreakBefore w:val="0"/>
        <w:kinsoku/>
        <w:wordWrap/>
        <w:overflowPunct/>
        <w:topLinePunct w:val="0"/>
        <w:autoSpaceDE/>
        <w:autoSpaceDN/>
        <w:bidi w:val="0"/>
        <w:adjustRightInd/>
        <w:spacing w:line="360" w:lineRule="auto"/>
        <w:ind w:left="0"/>
        <w:textAlignment w:val="auto"/>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 xml:space="preserve">    3.双方因本合同的履行而发生的争议，应由双方友好协商解决。如果协商不成，</w:t>
      </w:r>
      <w:r>
        <w:rPr>
          <w:rFonts w:hint="eastAsia" w:ascii="宋体" w:hAnsi="宋体" w:eastAsia="宋体" w:cs="宋体"/>
          <w:color w:val="auto"/>
          <w:sz w:val="22"/>
          <w:szCs w:val="22"/>
          <w:highlight w:val="none"/>
          <w:u w:val="single"/>
          <w:shd w:val="clear" w:color="auto" w:fill="auto"/>
        </w:rPr>
        <w:t>任何一方均有权向</w:t>
      </w:r>
      <w:r>
        <w:rPr>
          <w:rFonts w:hint="eastAsia" w:ascii="宋体" w:hAnsi="宋体" w:eastAsia="宋体" w:cs="宋体"/>
          <w:color w:val="auto"/>
          <w:sz w:val="22"/>
          <w:szCs w:val="22"/>
          <w:highlight w:val="none"/>
          <w:u w:val="single"/>
          <w:shd w:val="clear" w:color="auto" w:fill="auto"/>
          <w:lang w:val="en-US" w:eastAsia="zh-CN"/>
        </w:rPr>
        <w:t>甲</w:t>
      </w:r>
      <w:r>
        <w:rPr>
          <w:rFonts w:hint="eastAsia" w:ascii="宋体" w:hAnsi="宋体" w:eastAsia="宋体" w:cs="宋体"/>
          <w:color w:val="auto"/>
          <w:sz w:val="22"/>
          <w:szCs w:val="22"/>
          <w:highlight w:val="none"/>
          <w:u w:val="single"/>
          <w:shd w:val="clear" w:color="auto" w:fill="auto"/>
        </w:rPr>
        <w:t>方所在地人民法院提请诉讼。</w:t>
      </w:r>
    </w:p>
    <w:p>
      <w:pPr>
        <w:keepNext w:val="0"/>
        <w:keepLines w:val="0"/>
        <w:pageBreakBefore w:val="0"/>
        <w:kinsoku/>
        <w:wordWrap/>
        <w:overflowPunct/>
        <w:topLinePunct w:val="0"/>
        <w:autoSpaceDE/>
        <w:autoSpaceDN/>
        <w:bidi w:val="0"/>
        <w:adjustRightInd/>
        <w:spacing w:line="360" w:lineRule="auto"/>
        <w:ind w:left="0"/>
        <w:textAlignment w:val="auto"/>
        <w:rPr>
          <w:rFonts w:hint="eastAsia" w:ascii="宋体" w:hAnsi="宋体" w:eastAsia="宋体" w:cs="宋体"/>
          <w:color w:val="auto"/>
          <w:sz w:val="22"/>
          <w:szCs w:val="22"/>
          <w:highlight w:val="none"/>
          <w:shd w:val="clear" w:color="auto" w:fill="auto"/>
        </w:rPr>
      </w:pPr>
      <w:r>
        <w:rPr>
          <w:rFonts w:hint="eastAsia" w:ascii="宋体" w:hAnsi="宋体" w:eastAsia="宋体" w:cs="宋体"/>
          <w:b/>
          <w:color w:val="auto"/>
          <w:sz w:val="22"/>
          <w:szCs w:val="22"/>
          <w:highlight w:val="none"/>
          <w:shd w:val="clear" w:color="auto" w:fill="auto"/>
        </w:rPr>
        <w:t>第七条  免责条款</w:t>
      </w:r>
    </w:p>
    <w:p>
      <w:pPr>
        <w:keepNext w:val="0"/>
        <w:keepLines w:val="0"/>
        <w:pageBreakBefore w:val="0"/>
        <w:kinsoku/>
        <w:wordWrap/>
        <w:overflowPunct/>
        <w:topLinePunct w:val="0"/>
        <w:autoSpaceDE/>
        <w:autoSpaceDN/>
        <w:bidi w:val="0"/>
        <w:adjustRightInd/>
        <w:spacing w:line="360" w:lineRule="auto"/>
        <w:ind w:left="0" w:firstLine="440" w:firstLineChars="200"/>
        <w:textAlignment w:val="auto"/>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因不可抗力导致甲乙双方或一方不能履行或不能完全履行本合同项下有关义务时，双方相互不承担违约责任。但遇有不可抗力的一方或双方应于不可抗力发生后15日内将情况告知对方，并提供有关部门的证明。在不可抗力影响消除后的合理时间内，一方或双方应当继续履行合同。</w:t>
      </w:r>
    </w:p>
    <w:p>
      <w:pPr>
        <w:keepNext w:val="0"/>
        <w:keepLines w:val="0"/>
        <w:pageBreakBefore w:val="0"/>
        <w:kinsoku/>
        <w:wordWrap/>
        <w:overflowPunct/>
        <w:topLinePunct w:val="0"/>
        <w:autoSpaceDE/>
        <w:autoSpaceDN/>
        <w:bidi w:val="0"/>
        <w:adjustRightInd/>
        <w:spacing w:line="360" w:lineRule="auto"/>
        <w:ind w:left="0"/>
        <w:textAlignment w:val="auto"/>
        <w:rPr>
          <w:rFonts w:hint="eastAsia" w:ascii="宋体" w:hAnsi="宋体" w:eastAsia="宋体" w:cs="宋体"/>
          <w:b/>
          <w:color w:val="auto"/>
          <w:sz w:val="22"/>
          <w:szCs w:val="22"/>
          <w:highlight w:val="none"/>
          <w:shd w:val="clear" w:color="auto" w:fill="auto"/>
        </w:rPr>
      </w:pPr>
      <w:r>
        <w:rPr>
          <w:rFonts w:hint="eastAsia" w:ascii="宋体" w:hAnsi="宋体" w:eastAsia="宋体" w:cs="宋体"/>
          <w:b/>
          <w:color w:val="auto"/>
          <w:sz w:val="22"/>
          <w:szCs w:val="22"/>
          <w:highlight w:val="none"/>
          <w:shd w:val="clear" w:color="auto" w:fill="auto"/>
        </w:rPr>
        <w:t>第八条  合同的有效期限、续签、变更、解除</w:t>
      </w:r>
    </w:p>
    <w:p>
      <w:pPr>
        <w:keepNext w:val="0"/>
        <w:keepLines w:val="0"/>
        <w:pageBreakBefore w:val="0"/>
        <w:kinsoku/>
        <w:wordWrap/>
        <w:overflowPunct/>
        <w:topLinePunct w:val="0"/>
        <w:autoSpaceDE/>
        <w:autoSpaceDN/>
        <w:bidi w:val="0"/>
        <w:adjustRightInd/>
        <w:spacing w:line="360" w:lineRule="auto"/>
        <w:ind w:left="0"/>
        <w:textAlignment w:val="auto"/>
        <w:rPr>
          <w:rFonts w:hint="eastAsia" w:ascii="宋体" w:hAnsi="宋体" w:eastAsia="宋体" w:cs="宋体"/>
          <w:color w:val="auto"/>
          <w:sz w:val="22"/>
          <w:szCs w:val="22"/>
          <w:highlight w:val="none"/>
          <w:shd w:val="clear" w:color="auto" w:fill="auto"/>
        </w:rPr>
      </w:pPr>
      <w:r>
        <w:rPr>
          <w:rFonts w:hint="eastAsia" w:ascii="宋体" w:hAnsi="宋体" w:eastAsia="宋体" w:cs="宋体"/>
          <w:bCs/>
          <w:color w:val="auto"/>
          <w:sz w:val="22"/>
          <w:szCs w:val="22"/>
          <w:highlight w:val="none"/>
          <w:shd w:val="clear" w:color="auto" w:fill="auto"/>
        </w:rPr>
        <w:t xml:space="preserve">    1.</w:t>
      </w:r>
      <w:r>
        <w:rPr>
          <w:rFonts w:hint="eastAsia" w:ascii="宋体" w:hAnsi="宋体" w:eastAsia="宋体" w:cs="宋体"/>
          <w:color w:val="auto"/>
          <w:sz w:val="22"/>
          <w:szCs w:val="22"/>
          <w:highlight w:val="none"/>
          <w:shd w:val="clear" w:color="auto" w:fill="auto"/>
        </w:rPr>
        <w:t>本合同有效期为</w:t>
      </w:r>
      <w:r>
        <w:rPr>
          <w:rFonts w:hint="eastAsia" w:ascii="宋体" w:hAnsi="宋体" w:eastAsia="宋体" w:cs="宋体"/>
          <w:color w:val="auto"/>
          <w:sz w:val="22"/>
          <w:szCs w:val="22"/>
          <w:highlight w:val="none"/>
          <w:u w:val="single"/>
          <w:shd w:val="clear" w:color="auto" w:fill="auto"/>
        </w:rPr>
        <w:t>叁年</w:t>
      </w:r>
      <w:r>
        <w:rPr>
          <w:rFonts w:hint="eastAsia" w:ascii="宋体" w:hAnsi="宋体" w:eastAsia="宋体" w:cs="宋体"/>
          <w:color w:val="auto"/>
          <w:sz w:val="22"/>
          <w:szCs w:val="22"/>
          <w:highlight w:val="none"/>
          <w:shd w:val="clear" w:color="auto" w:fill="auto"/>
        </w:rPr>
        <w:t>。</w:t>
      </w:r>
    </w:p>
    <w:p>
      <w:pPr>
        <w:keepNext w:val="0"/>
        <w:keepLines w:val="0"/>
        <w:pageBreakBefore w:val="0"/>
        <w:kinsoku/>
        <w:wordWrap/>
        <w:overflowPunct/>
        <w:topLinePunct w:val="0"/>
        <w:autoSpaceDE/>
        <w:autoSpaceDN/>
        <w:bidi w:val="0"/>
        <w:adjustRightInd/>
        <w:spacing w:line="360" w:lineRule="auto"/>
        <w:ind w:left="0"/>
        <w:textAlignment w:val="auto"/>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 xml:space="preserve">    2.本合同有效期满后，合同如需延期双方再协商解决。</w:t>
      </w:r>
    </w:p>
    <w:p>
      <w:pPr>
        <w:keepNext w:val="0"/>
        <w:keepLines w:val="0"/>
        <w:pageBreakBefore w:val="0"/>
        <w:kinsoku/>
        <w:wordWrap/>
        <w:overflowPunct/>
        <w:topLinePunct w:val="0"/>
        <w:autoSpaceDE/>
        <w:autoSpaceDN/>
        <w:bidi w:val="0"/>
        <w:adjustRightInd/>
        <w:spacing w:line="360" w:lineRule="auto"/>
        <w:ind w:left="0"/>
        <w:textAlignment w:val="auto"/>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 xml:space="preserve">    3.合同有效期内双方中任何一方因特殊原因欲变更或解除合同必须提前三个月以书面形式通知对方经双方协商认可后执行。</w:t>
      </w:r>
    </w:p>
    <w:p>
      <w:pPr>
        <w:keepNext w:val="0"/>
        <w:keepLines w:val="0"/>
        <w:pageBreakBefore w:val="0"/>
        <w:kinsoku/>
        <w:wordWrap/>
        <w:overflowPunct/>
        <w:topLinePunct w:val="0"/>
        <w:autoSpaceDE/>
        <w:autoSpaceDN/>
        <w:bidi w:val="0"/>
        <w:adjustRightInd/>
        <w:spacing w:line="360" w:lineRule="auto"/>
        <w:ind w:left="0"/>
        <w:textAlignment w:val="auto"/>
        <w:rPr>
          <w:rFonts w:hint="eastAsia" w:ascii="宋体" w:hAnsi="宋体" w:eastAsia="宋体" w:cs="宋体"/>
          <w:b/>
          <w:color w:val="auto"/>
          <w:sz w:val="22"/>
          <w:szCs w:val="22"/>
          <w:highlight w:val="none"/>
          <w:shd w:val="clear" w:color="auto" w:fill="auto"/>
        </w:rPr>
      </w:pPr>
      <w:r>
        <w:rPr>
          <w:rFonts w:hint="eastAsia" w:ascii="宋体" w:hAnsi="宋体" w:eastAsia="宋体" w:cs="宋体"/>
          <w:b/>
          <w:color w:val="auto"/>
          <w:sz w:val="22"/>
          <w:szCs w:val="22"/>
          <w:highlight w:val="none"/>
          <w:shd w:val="clear" w:color="auto" w:fill="auto"/>
        </w:rPr>
        <w:t xml:space="preserve">第九条  附则   </w:t>
      </w:r>
      <w:r>
        <w:rPr>
          <w:rFonts w:hint="eastAsia" w:ascii="宋体" w:hAnsi="宋体" w:eastAsia="宋体" w:cs="宋体"/>
          <w:bCs/>
          <w:color w:val="auto"/>
          <w:kern w:val="0"/>
          <w:sz w:val="22"/>
          <w:szCs w:val="22"/>
          <w:highlight w:val="none"/>
          <w:shd w:val="clear" w:color="auto" w:fill="auto"/>
        </w:rPr>
        <w:t xml:space="preserve"> </w:t>
      </w:r>
    </w:p>
    <w:p>
      <w:pPr>
        <w:keepNext w:val="0"/>
        <w:keepLines w:val="0"/>
        <w:pageBreakBefore w:val="0"/>
        <w:kinsoku/>
        <w:wordWrap/>
        <w:overflowPunct/>
        <w:topLinePunct w:val="0"/>
        <w:autoSpaceDE/>
        <w:autoSpaceDN/>
        <w:bidi w:val="0"/>
        <w:adjustRightInd/>
        <w:spacing w:line="360" w:lineRule="auto"/>
        <w:ind w:left="0"/>
        <w:textAlignment w:val="auto"/>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 xml:space="preserve">    1.如果本合同的任何条款在任何时候变成不合法、无效或不可强制执行而不从根本上影响本合同的效力时，本合同的其它条款应不受影响。</w:t>
      </w:r>
    </w:p>
    <w:p>
      <w:pPr>
        <w:keepNext w:val="0"/>
        <w:keepLines w:val="0"/>
        <w:pageBreakBefore w:val="0"/>
        <w:kinsoku/>
        <w:wordWrap/>
        <w:overflowPunct/>
        <w:topLinePunct w:val="0"/>
        <w:autoSpaceDE/>
        <w:autoSpaceDN/>
        <w:bidi w:val="0"/>
        <w:adjustRightInd/>
        <w:spacing w:line="360" w:lineRule="auto"/>
        <w:ind w:left="0"/>
        <w:textAlignment w:val="auto"/>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 xml:space="preserve">    2.未经甲乙双方书面确认，任何一方不得自行变更或修改本合同。</w:t>
      </w:r>
    </w:p>
    <w:p>
      <w:pPr>
        <w:keepNext w:val="0"/>
        <w:keepLines w:val="0"/>
        <w:pageBreakBefore w:val="0"/>
        <w:kinsoku/>
        <w:wordWrap/>
        <w:overflowPunct/>
        <w:topLinePunct w:val="0"/>
        <w:autoSpaceDE/>
        <w:autoSpaceDN/>
        <w:bidi w:val="0"/>
        <w:adjustRightInd/>
        <w:spacing w:line="360" w:lineRule="auto"/>
        <w:ind w:left="0"/>
        <w:textAlignment w:val="auto"/>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 xml:space="preserve">    3.本合同各条标题仅为提示之用，应以条文内容确定各方的权利义务。</w:t>
      </w:r>
    </w:p>
    <w:p>
      <w:pPr>
        <w:keepNext w:val="0"/>
        <w:keepLines w:val="0"/>
        <w:pageBreakBefore w:val="0"/>
        <w:kinsoku/>
        <w:wordWrap/>
        <w:overflowPunct/>
        <w:topLinePunct w:val="0"/>
        <w:autoSpaceDE/>
        <w:autoSpaceDN/>
        <w:bidi w:val="0"/>
        <w:adjustRightInd/>
        <w:spacing w:line="360" w:lineRule="auto"/>
        <w:ind w:left="0"/>
        <w:textAlignment w:val="auto"/>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 xml:space="preserve">    4.未得到对方的书面许可，一方均不得以广告的形式或在公共场合使用或摹仿对方的名称、商标、图案、服务标志、符号、代码、型号或缩写，任何一方均不得声称对对方的名称、商标、图案、服务标志、符号、代码、型号或缩写拥有所有权。</w:t>
      </w:r>
    </w:p>
    <w:p>
      <w:pPr>
        <w:keepNext w:val="0"/>
        <w:keepLines w:val="0"/>
        <w:pageBreakBefore w:val="0"/>
        <w:kinsoku/>
        <w:wordWrap/>
        <w:overflowPunct/>
        <w:topLinePunct w:val="0"/>
        <w:autoSpaceDE/>
        <w:autoSpaceDN/>
        <w:bidi w:val="0"/>
        <w:adjustRightInd/>
        <w:spacing w:line="360" w:lineRule="auto"/>
        <w:ind w:left="0"/>
        <w:textAlignment w:val="auto"/>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 xml:space="preserve">    5.本合同的任何内容不应被视为或解释为双方之间具有合资、合伙、代理关系。</w:t>
      </w:r>
    </w:p>
    <w:p>
      <w:pPr>
        <w:keepNext w:val="0"/>
        <w:keepLines w:val="0"/>
        <w:pageBreakBefore w:val="0"/>
        <w:kinsoku/>
        <w:wordWrap/>
        <w:overflowPunct/>
        <w:topLinePunct w:val="0"/>
        <w:autoSpaceDE/>
        <w:autoSpaceDN/>
        <w:bidi w:val="0"/>
        <w:adjustRightInd/>
        <w:spacing w:line="360" w:lineRule="auto"/>
        <w:ind w:left="0"/>
        <w:textAlignment w:val="auto"/>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 xml:space="preserve">    6.</w:t>
      </w:r>
      <w:r>
        <w:rPr>
          <w:rFonts w:hint="eastAsia" w:ascii="宋体" w:hAnsi="宋体" w:eastAsia="宋体" w:cs="宋体"/>
          <w:color w:val="auto"/>
          <w:kern w:val="0"/>
          <w:sz w:val="22"/>
          <w:szCs w:val="22"/>
          <w:highlight w:val="none"/>
          <w:shd w:val="clear" w:color="auto" w:fill="auto"/>
        </w:rPr>
        <w:t>本合同自双方法定代表人（负责人）或授权代表签字并加盖公章或合同专用章之日起生效。</w:t>
      </w:r>
    </w:p>
    <w:p>
      <w:pPr>
        <w:keepNext w:val="0"/>
        <w:keepLines w:val="0"/>
        <w:pageBreakBefore w:val="0"/>
        <w:kinsoku/>
        <w:wordWrap/>
        <w:overflowPunct/>
        <w:topLinePunct w:val="0"/>
        <w:autoSpaceDE/>
        <w:autoSpaceDN/>
        <w:bidi w:val="0"/>
        <w:adjustRightInd/>
        <w:spacing w:line="360" w:lineRule="auto"/>
        <w:ind w:left="0"/>
        <w:textAlignment w:val="auto"/>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 xml:space="preserve">    7.</w:t>
      </w:r>
      <w:r>
        <w:rPr>
          <w:rFonts w:hint="eastAsia" w:ascii="宋体" w:hAnsi="宋体" w:eastAsia="宋体" w:cs="宋体"/>
          <w:bCs/>
          <w:color w:val="auto"/>
          <w:kern w:val="0"/>
          <w:sz w:val="22"/>
          <w:szCs w:val="22"/>
          <w:highlight w:val="none"/>
          <w:shd w:val="clear" w:color="auto" w:fill="auto"/>
        </w:rPr>
        <w:t>本合同一式</w:t>
      </w:r>
      <w:r>
        <w:rPr>
          <w:rFonts w:hint="eastAsia" w:ascii="宋体" w:hAnsi="宋体" w:eastAsia="宋体" w:cs="宋体"/>
          <w:bCs/>
          <w:color w:val="auto"/>
          <w:kern w:val="0"/>
          <w:sz w:val="22"/>
          <w:szCs w:val="22"/>
          <w:highlight w:val="none"/>
          <w:u w:val="single"/>
          <w:shd w:val="clear" w:color="auto" w:fill="auto"/>
        </w:rPr>
        <w:t>肆</w:t>
      </w:r>
      <w:r>
        <w:rPr>
          <w:rFonts w:hint="eastAsia" w:ascii="宋体" w:hAnsi="宋体" w:eastAsia="宋体" w:cs="宋体"/>
          <w:bCs/>
          <w:color w:val="auto"/>
          <w:kern w:val="0"/>
          <w:sz w:val="22"/>
          <w:szCs w:val="22"/>
          <w:highlight w:val="none"/>
          <w:shd w:val="clear" w:color="auto" w:fill="auto"/>
        </w:rPr>
        <w:t>份，甲方执</w:t>
      </w:r>
      <w:r>
        <w:rPr>
          <w:rFonts w:hint="eastAsia" w:ascii="宋体" w:hAnsi="宋体" w:eastAsia="宋体" w:cs="宋体"/>
          <w:bCs/>
          <w:color w:val="auto"/>
          <w:kern w:val="0"/>
          <w:sz w:val="22"/>
          <w:szCs w:val="22"/>
          <w:highlight w:val="none"/>
          <w:u w:val="single"/>
          <w:shd w:val="clear" w:color="auto" w:fill="auto"/>
        </w:rPr>
        <w:t>贰</w:t>
      </w:r>
      <w:r>
        <w:rPr>
          <w:rFonts w:hint="eastAsia" w:ascii="宋体" w:hAnsi="宋体" w:eastAsia="宋体" w:cs="宋体"/>
          <w:bCs/>
          <w:color w:val="auto"/>
          <w:kern w:val="0"/>
          <w:sz w:val="22"/>
          <w:szCs w:val="22"/>
          <w:highlight w:val="none"/>
          <w:shd w:val="clear" w:color="auto" w:fill="auto"/>
        </w:rPr>
        <w:t>份，乙方执</w:t>
      </w:r>
      <w:r>
        <w:rPr>
          <w:rFonts w:hint="eastAsia" w:ascii="宋体" w:hAnsi="宋体" w:eastAsia="宋体" w:cs="宋体"/>
          <w:bCs/>
          <w:color w:val="auto"/>
          <w:kern w:val="0"/>
          <w:sz w:val="22"/>
          <w:szCs w:val="22"/>
          <w:highlight w:val="none"/>
          <w:u w:val="single"/>
          <w:shd w:val="clear" w:color="auto" w:fill="auto"/>
        </w:rPr>
        <w:t>贰</w:t>
      </w:r>
      <w:r>
        <w:rPr>
          <w:rFonts w:hint="eastAsia" w:ascii="宋体" w:hAnsi="宋体" w:eastAsia="宋体" w:cs="宋体"/>
          <w:bCs/>
          <w:color w:val="auto"/>
          <w:kern w:val="0"/>
          <w:sz w:val="22"/>
          <w:szCs w:val="22"/>
          <w:highlight w:val="none"/>
          <w:shd w:val="clear" w:color="auto" w:fill="auto"/>
        </w:rPr>
        <w:t>份，合同附件及招标文件、乙方投标书、投标时的承诺书等是合同不可分</w:t>
      </w:r>
      <w:r>
        <w:rPr>
          <w:rFonts w:hint="eastAsia" w:ascii="宋体" w:hAnsi="宋体" w:eastAsia="宋体" w:cs="宋体"/>
          <w:color w:val="auto"/>
          <w:kern w:val="0"/>
          <w:sz w:val="22"/>
          <w:szCs w:val="22"/>
          <w:highlight w:val="none"/>
          <w:shd w:val="clear" w:color="auto" w:fill="auto"/>
        </w:rPr>
        <w:t>割的一部分，具有同等法律效力。</w:t>
      </w:r>
    </w:p>
    <w:p>
      <w:pPr>
        <w:keepNext w:val="0"/>
        <w:keepLines w:val="0"/>
        <w:pageBreakBefore w:val="0"/>
        <w:kinsoku/>
        <w:wordWrap/>
        <w:overflowPunct/>
        <w:topLinePunct w:val="0"/>
        <w:autoSpaceDE/>
        <w:autoSpaceDN/>
        <w:bidi w:val="0"/>
        <w:adjustRightInd/>
        <w:spacing w:line="360" w:lineRule="auto"/>
        <w:ind w:left="0" w:firstLine="480"/>
        <w:textAlignment w:val="auto"/>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 xml:space="preserve">8.本合同未尽事宜按照国家法律法规、安防标准及招标文件、投标书执行。 </w:t>
      </w:r>
    </w:p>
    <w:p>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color w:val="auto"/>
          <w:sz w:val="22"/>
          <w:szCs w:val="22"/>
          <w:highlight w:val="none"/>
          <w:shd w:val="clear" w:color="auto" w:fill="auto"/>
        </w:rPr>
      </w:pPr>
      <w:r>
        <w:rPr>
          <w:rFonts w:hint="eastAsia" w:ascii="宋体" w:hAnsi="宋体" w:eastAsia="宋体" w:cs="宋体"/>
          <w:b/>
          <w:color w:val="auto"/>
          <w:sz w:val="22"/>
          <w:szCs w:val="22"/>
          <w:highlight w:val="none"/>
          <w:shd w:val="clear" w:color="auto" w:fill="auto"/>
        </w:rPr>
        <w:t>第十条  合同附件</w:t>
      </w:r>
    </w:p>
    <w:p>
      <w:pPr>
        <w:keepNext w:val="0"/>
        <w:keepLines w:val="0"/>
        <w:pageBreakBefore w:val="0"/>
        <w:kinsoku/>
        <w:wordWrap/>
        <w:overflowPunct/>
        <w:topLinePunct w:val="0"/>
        <w:autoSpaceDE/>
        <w:autoSpaceDN/>
        <w:bidi w:val="0"/>
        <w:adjustRightInd/>
        <w:spacing w:line="360" w:lineRule="auto"/>
        <w:ind w:left="0" w:firstLine="440" w:firstLineChars="200"/>
        <w:textAlignment w:val="auto"/>
        <w:rPr>
          <w:rFonts w:hint="eastAsia" w:ascii="宋体" w:hAnsi="宋体" w:eastAsia="宋体" w:cs="宋体"/>
          <w:color w:val="auto"/>
          <w:sz w:val="22"/>
          <w:szCs w:val="22"/>
          <w:highlight w:val="none"/>
          <w:u w:val="single"/>
          <w:shd w:val="clear" w:color="auto" w:fill="auto"/>
          <w:lang w:val="en-US" w:eastAsia="zh-CN"/>
        </w:rPr>
      </w:pPr>
      <w:r>
        <w:rPr>
          <w:rFonts w:hint="eastAsia" w:ascii="宋体" w:hAnsi="宋体" w:eastAsia="宋体" w:cs="宋体"/>
          <w:color w:val="auto"/>
          <w:sz w:val="22"/>
          <w:szCs w:val="22"/>
          <w:highlight w:val="none"/>
          <w:u w:val="single"/>
          <w:shd w:val="clear" w:color="auto" w:fill="auto"/>
          <w:lang w:val="en-US" w:eastAsia="zh-CN"/>
        </w:rPr>
        <w:t>本采购文件第四部分采购内容及要求项目清单。</w:t>
      </w:r>
    </w:p>
    <w:p>
      <w:pPr>
        <w:keepNext w:val="0"/>
        <w:keepLines w:val="0"/>
        <w:pageBreakBefore w:val="0"/>
        <w:kinsoku/>
        <w:wordWrap/>
        <w:overflowPunct/>
        <w:topLinePunct w:val="0"/>
        <w:autoSpaceDE/>
        <w:autoSpaceDN/>
        <w:bidi w:val="0"/>
        <w:adjustRightInd/>
        <w:spacing w:line="360" w:lineRule="auto"/>
        <w:ind w:left="0"/>
        <w:textAlignment w:val="auto"/>
        <w:rPr>
          <w:rFonts w:hint="eastAsia" w:ascii="宋体" w:hAnsi="宋体" w:eastAsia="宋体" w:cs="宋体"/>
          <w:color w:val="auto"/>
          <w:sz w:val="22"/>
          <w:szCs w:val="22"/>
          <w:highlight w:val="none"/>
          <w:u w:val="single"/>
          <w:shd w:val="clear" w:color="auto" w:fill="auto"/>
        </w:rPr>
      </w:pPr>
      <w:r>
        <w:rPr>
          <w:rFonts w:hint="eastAsia" w:ascii="宋体" w:hAnsi="宋体" w:eastAsia="宋体" w:cs="宋体"/>
          <w:color w:val="auto"/>
          <w:sz w:val="22"/>
          <w:szCs w:val="22"/>
          <w:highlight w:val="none"/>
          <w:u w:val="single"/>
          <w:shd w:val="clear" w:color="auto" w:fill="auto"/>
        </w:rPr>
        <w:br w:type="page"/>
      </w:r>
    </w:p>
    <w:p>
      <w:pPr>
        <w:keepNext w:val="0"/>
        <w:keepLines w:val="0"/>
        <w:pageBreakBefore w:val="0"/>
        <w:kinsoku/>
        <w:wordWrap/>
        <w:overflowPunct/>
        <w:topLinePunct w:val="0"/>
        <w:autoSpaceDE/>
        <w:autoSpaceDN/>
        <w:bidi w:val="0"/>
        <w:adjustRightInd/>
        <w:spacing w:line="360" w:lineRule="auto"/>
        <w:ind w:left="0"/>
        <w:jc w:val="left"/>
        <w:textAlignment w:val="auto"/>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（此页无正文，签署页）</w:t>
      </w:r>
    </w:p>
    <w:tbl>
      <w:tblPr>
        <w:tblStyle w:val="28"/>
        <w:tblW w:w="9231" w:type="dxa"/>
        <w:tblInd w:w="0" w:type="dxa"/>
        <w:tblLayout w:type="autofit"/>
        <w:tblCellMar>
          <w:top w:w="0" w:type="dxa"/>
          <w:left w:w="108" w:type="dxa"/>
          <w:bottom w:w="0" w:type="dxa"/>
          <w:right w:w="108" w:type="dxa"/>
        </w:tblCellMar>
      </w:tblPr>
      <w:tblGrid>
        <w:gridCol w:w="4616"/>
        <w:gridCol w:w="4615"/>
      </w:tblGrid>
      <w:tr>
        <w:tblPrEx>
          <w:tblCellMar>
            <w:top w:w="0" w:type="dxa"/>
            <w:left w:w="108" w:type="dxa"/>
            <w:bottom w:w="0" w:type="dxa"/>
            <w:right w:w="108" w:type="dxa"/>
          </w:tblCellMar>
        </w:tblPrEx>
        <w:trPr>
          <w:trHeight w:val="1008" w:hRule="atLeast"/>
        </w:trPr>
        <w:tc>
          <w:tcPr>
            <w:tcW w:w="4616" w:type="dxa"/>
            <w:noWrap w:val="0"/>
            <w:vAlign w:val="top"/>
          </w:tcPr>
          <w:p>
            <w:pPr>
              <w:keepNext w:val="0"/>
              <w:keepLines w:val="0"/>
              <w:pageBreakBefore w:val="0"/>
              <w:kinsoku/>
              <w:wordWrap/>
              <w:overflowPunct/>
              <w:topLinePunct w:val="0"/>
              <w:autoSpaceDE/>
              <w:autoSpaceDN/>
              <w:bidi w:val="0"/>
              <w:adjustRightInd/>
              <w:spacing w:line="360" w:lineRule="auto"/>
              <w:ind w:left="0"/>
              <w:textAlignment w:val="auto"/>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kern w:val="0"/>
                <w:sz w:val="22"/>
                <w:szCs w:val="22"/>
                <w:highlight w:val="none"/>
                <w:shd w:val="clear" w:color="auto" w:fill="auto"/>
              </w:rPr>
              <w:t>甲方(盖章)：</w:t>
            </w:r>
            <w:r>
              <w:rPr>
                <w:rFonts w:hint="eastAsia" w:ascii="宋体" w:hAnsi="宋体" w:eastAsia="宋体" w:cs="宋体"/>
                <w:color w:val="auto"/>
                <w:kern w:val="0"/>
                <w:sz w:val="22"/>
                <w:szCs w:val="22"/>
                <w:highlight w:val="none"/>
                <w:u w:val="single"/>
                <w:shd w:val="clear" w:color="auto" w:fill="auto"/>
              </w:rPr>
              <w:t>浙江东方职业技术学院</w:t>
            </w:r>
          </w:p>
        </w:tc>
        <w:tc>
          <w:tcPr>
            <w:tcW w:w="4615" w:type="dxa"/>
            <w:noWrap w:val="0"/>
            <w:vAlign w:val="top"/>
          </w:tcPr>
          <w:p>
            <w:pPr>
              <w:keepNext w:val="0"/>
              <w:keepLines w:val="0"/>
              <w:pageBreakBefore w:val="0"/>
              <w:kinsoku/>
              <w:wordWrap/>
              <w:overflowPunct/>
              <w:topLinePunct w:val="0"/>
              <w:autoSpaceDE/>
              <w:autoSpaceDN/>
              <w:bidi w:val="0"/>
              <w:adjustRightInd/>
              <w:spacing w:line="360" w:lineRule="auto"/>
              <w:ind w:left="0"/>
              <w:textAlignment w:val="auto"/>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kern w:val="0"/>
                <w:sz w:val="22"/>
                <w:szCs w:val="22"/>
                <w:highlight w:val="none"/>
                <w:shd w:val="clear" w:color="auto" w:fill="auto"/>
              </w:rPr>
              <w:t>乙方(盖章)：</w:t>
            </w:r>
          </w:p>
        </w:tc>
      </w:tr>
      <w:tr>
        <w:tblPrEx>
          <w:tblCellMar>
            <w:top w:w="0" w:type="dxa"/>
            <w:left w:w="108" w:type="dxa"/>
            <w:bottom w:w="0" w:type="dxa"/>
            <w:right w:w="108" w:type="dxa"/>
          </w:tblCellMar>
        </w:tblPrEx>
        <w:trPr>
          <w:trHeight w:val="2054" w:hRule="atLeast"/>
        </w:trPr>
        <w:tc>
          <w:tcPr>
            <w:tcW w:w="4616" w:type="dxa"/>
            <w:noWrap w:val="0"/>
            <w:vAlign w:val="top"/>
          </w:tcPr>
          <w:p>
            <w:pPr>
              <w:keepNext w:val="0"/>
              <w:keepLines w:val="0"/>
              <w:pageBreakBefore w:val="0"/>
              <w:kinsoku/>
              <w:wordWrap/>
              <w:overflowPunct/>
              <w:topLinePunct w:val="0"/>
              <w:autoSpaceDE/>
              <w:autoSpaceDN/>
              <w:bidi w:val="0"/>
              <w:adjustRightInd/>
              <w:spacing w:line="360" w:lineRule="auto"/>
              <w:ind w:left="0"/>
              <w:textAlignment w:val="auto"/>
              <w:rPr>
                <w:rFonts w:hint="eastAsia" w:ascii="宋体" w:hAnsi="宋体" w:eastAsia="宋体" w:cs="宋体"/>
                <w:color w:val="auto"/>
                <w:kern w:val="0"/>
                <w:sz w:val="22"/>
                <w:szCs w:val="22"/>
                <w:highlight w:val="none"/>
                <w:shd w:val="clear" w:color="auto" w:fill="auto"/>
              </w:rPr>
            </w:pPr>
            <w:r>
              <w:rPr>
                <w:rFonts w:hint="eastAsia" w:ascii="宋体" w:hAnsi="宋体" w:eastAsia="宋体" w:cs="宋体"/>
                <w:color w:val="auto"/>
                <w:kern w:val="0"/>
                <w:sz w:val="22"/>
                <w:szCs w:val="22"/>
                <w:highlight w:val="none"/>
                <w:shd w:val="clear" w:color="auto" w:fill="auto"/>
              </w:rPr>
              <w:t>法定代表人（负责人）</w:t>
            </w:r>
          </w:p>
          <w:p>
            <w:pPr>
              <w:keepNext w:val="0"/>
              <w:keepLines w:val="0"/>
              <w:pageBreakBefore w:val="0"/>
              <w:kinsoku/>
              <w:wordWrap/>
              <w:overflowPunct/>
              <w:topLinePunct w:val="0"/>
              <w:autoSpaceDE/>
              <w:autoSpaceDN/>
              <w:bidi w:val="0"/>
              <w:adjustRightInd/>
              <w:spacing w:line="360" w:lineRule="auto"/>
              <w:ind w:left="0"/>
              <w:textAlignment w:val="auto"/>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kern w:val="0"/>
                <w:sz w:val="22"/>
                <w:szCs w:val="22"/>
                <w:highlight w:val="none"/>
                <w:shd w:val="clear" w:color="auto" w:fill="auto"/>
              </w:rPr>
              <w:t>或授权代表（签字）：</w:t>
            </w:r>
          </w:p>
        </w:tc>
        <w:tc>
          <w:tcPr>
            <w:tcW w:w="4615" w:type="dxa"/>
            <w:noWrap w:val="0"/>
            <w:vAlign w:val="top"/>
          </w:tcPr>
          <w:p>
            <w:pPr>
              <w:keepNext w:val="0"/>
              <w:keepLines w:val="0"/>
              <w:pageBreakBefore w:val="0"/>
              <w:kinsoku/>
              <w:wordWrap/>
              <w:overflowPunct/>
              <w:topLinePunct w:val="0"/>
              <w:autoSpaceDE/>
              <w:autoSpaceDN/>
              <w:bidi w:val="0"/>
              <w:adjustRightInd/>
              <w:spacing w:line="360" w:lineRule="auto"/>
              <w:ind w:left="0"/>
              <w:textAlignment w:val="auto"/>
              <w:rPr>
                <w:rFonts w:hint="eastAsia" w:ascii="宋体" w:hAnsi="宋体" w:eastAsia="宋体" w:cs="宋体"/>
                <w:color w:val="auto"/>
                <w:kern w:val="0"/>
                <w:sz w:val="22"/>
                <w:szCs w:val="22"/>
                <w:highlight w:val="none"/>
                <w:shd w:val="clear" w:color="auto" w:fill="auto"/>
              </w:rPr>
            </w:pPr>
            <w:r>
              <w:rPr>
                <w:rFonts w:hint="eastAsia" w:ascii="宋体" w:hAnsi="宋体" w:eastAsia="宋体" w:cs="宋体"/>
                <w:color w:val="auto"/>
                <w:kern w:val="0"/>
                <w:sz w:val="22"/>
                <w:szCs w:val="22"/>
                <w:highlight w:val="none"/>
                <w:shd w:val="clear" w:color="auto" w:fill="auto"/>
              </w:rPr>
              <w:t>法定代表人（负责人）</w:t>
            </w:r>
          </w:p>
          <w:p>
            <w:pPr>
              <w:keepNext w:val="0"/>
              <w:keepLines w:val="0"/>
              <w:pageBreakBefore w:val="0"/>
              <w:kinsoku/>
              <w:wordWrap/>
              <w:overflowPunct/>
              <w:topLinePunct w:val="0"/>
              <w:autoSpaceDE/>
              <w:autoSpaceDN/>
              <w:bidi w:val="0"/>
              <w:adjustRightInd/>
              <w:spacing w:line="360" w:lineRule="auto"/>
              <w:ind w:left="0"/>
              <w:textAlignment w:val="auto"/>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kern w:val="0"/>
                <w:sz w:val="22"/>
                <w:szCs w:val="22"/>
                <w:highlight w:val="none"/>
                <w:shd w:val="clear" w:color="auto" w:fill="auto"/>
              </w:rPr>
              <w:t>或授权代表（签字）：</w:t>
            </w:r>
          </w:p>
        </w:tc>
      </w:tr>
      <w:tr>
        <w:tblPrEx>
          <w:tblCellMar>
            <w:top w:w="0" w:type="dxa"/>
            <w:left w:w="108" w:type="dxa"/>
            <w:bottom w:w="0" w:type="dxa"/>
            <w:right w:w="108" w:type="dxa"/>
          </w:tblCellMar>
        </w:tblPrEx>
        <w:trPr>
          <w:trHeight w:val="1008" w:hRule="atLeast"/>
        </w:trPr>
        <w:tc>
          <w:tcPr>
            <w:tcW w:w="4616" w:type="dxa"/>
            <w:noWrap w:val="0"/>
            <w:vAlign w:val="top"/>
          </w:tcPr>
          <w:p>
            <w:pPr>
              <w:keepNext w:val="0"/>
              <w:keepLines w:val="0"/>
              <w:pageBreakBefore w:val="0"/>
              <w:kinsoku/>
              <w:wordWrap/>
              <w:overflowPunct/>
              <w:topLinePunct w:val="0"/>
              <w:autoSpaceDE/>
              <w:autoSpaceDN/>
              <w:bidi w:val="0"/>
              <w:adjustRightInd/>
              <w:spacing w:line="360" w:lineRule="auto"/>
              <w:ind w:left="0"/>
              <w:textAlignment w:val="auto"/>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kern w:val="0"/>
                <w:sz w:val="22"/>
                <w:szCs w:val="22"/>
                <w:highlight w:val="none"/>
                <w:shd w:val="clear" w:color="auto" w:fill="auto"/>
              </w:rPr>
              <w:t>日期：     年    月    日</w:t>
            </w:r>
          </w:p>
        </w:tc>
        <w:tc>
          <w:tcPr>
            <w:tcW w:w="4615" w:type="dxa"/>
            <w:noWrap w:val="0"/>
            <w:vAlign w:val="top"/>
          </w:tcPr>
          <w:p>
            <w:pPr>
              <w:keepNext w:val="0"/>
              <w:keepLines w:val="0"/>
              <w:pageBreakBefore w:val="0"/>
              <w:kinsoku/>
              <w:wordWrap/>
              <w:overflowPunct/>
              <w:topLinePunct w:val="0"/>
              <w:autoSpaceDE/>
              <w:autoSpaceDN/>
              <w:bidi w:val="0"/>
              <w:adjustRightInd/>
              <w:spacing w:line="360" w:lineRule="auto"/>
              <w:ind w:left="0"/>
              <w:textAlignment w:val="auto"/>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kern w:val="0"/>
                <w:sz w:val="22"/>
                <w:szCs w:val="22"/>
                <w:highlight w:val="none"/>
                <w:shd w:val="clear" w:color="auto" w:fill="auto"/>
              </w:rPr>
              <w:t>日期：     年    月    日</w:t>
            </w:r>
          </w:p>
        </w:tc>
      </w:tr>
      <w:tr>
        <w:tblPrEx>
          <w:tblCellMar>
            <w:top w:w="0" w:type="dxa"/>
            <w:left w:w="108" w:type="dxa"/>
            <w:bottom w:w="0" w:type="dxa"/>
            <w:right w:w="108" w:type="dxa"/>
          </w:tblCellMar>
        </w:tblPrEx>
        <w:trPr>
          <w:trHeight w:val="1008" w:hRule="atLeast"/>
        </w:trPr>
        <w:tc>
          <w:tcPr>
            <w:tcW w:w="4616" w:type="dxa"/>
            <w:noWrap w:val="0"/>
            <w:vAlign w:val="top"/>
          </w:tcPr>
          <w:p>
            <w:pPr>
              <w:keepNext w:val="0"/>
              <w:keepLines w:val="0"/>
              <w:pageBreakBefore w:val="0"/>
              <w:kinsoku/>
              <w:wordWrap/>
              <w:overflowPunct/>
              <w:topLinePunct w:val="0"/>
              <w:autoSpaceDE/>
              <w:autoSpaceDN/>
              <w:bidi w:val="0"/>
              <w:adjustRightInd/>
              <w:spacing w:line="360" w:lineRule="auto"/>
              <w:ind w:left="0"/>
              <w:textAlignment w:val="auto"/>
              <w:rPr>
                <w:rFonts w:hint="eastAsia" w:ascii="宋体" w:hAnsi="宋体" w:eastAsia="宋体" w:cs="宋体"/>
                <w:color w:val="auto"/>
                <w:sz w:val="22"/>
                <w:szCs w:val="22"/>
                <w:highlight w:val="none"/>
                <w:shd w:val="clear" w:color="auto" w:fill="auto"/>
              </w:rPr>
            </w:pPr>
          </w:p>
        </w:tc>
        <w:tc>
          <w:tcPr>
            <w:tcW w:w="4615" w:type="dxa"/>
            <w:noWrap w:val="0"/>
            <w:vAlign w:val="top"/>
          </w:tcPr>
          <w:p>
            <w:pPr>
              <w:keepNext w:val="0"/>
              <w:keepLines w:val="0"/>
              <w:pageBreakBefore w:val="0"/>
              <w:kinsoku/>
              <w:wordWrap/>
              <w:overflowPunct/>
              <w:topLinePunct w:val="0"/>
              <w:autoSpaceDE/>
              <w:autoSpaceDN/>
              <w:bidi w:val="0"/>
              <w:adjustRightInd/>
              <w:spacing w:line="360" w:lineRule="auto"/>
              <w:ind w:left="0"/>
              <w:textAlignment w:val="auto"/>
              <w:rPr>
                <w:rFonts w:hint="eastAsia" w:ascii="宋体" w:hAnsi="宋体" w:eastAsia="宋体" w:cs="宋体"/>
                <w:color w:val="auto"/>
                <w:sz w:val="22"/>
                <w:szCs w:val="22"/>
                <w:highlight w:val="none"/>
                <w:shd w:val="clear" w:color="auto" w:fill="auto"/>
              </w:rPr>
            </w:pPr>
          </w:p>
        </w:tc>
      </w:tr>
    </w:tbl>
    <w:p>
      <w:pPr>
        <w:keepNext w:val="0"/>
        <w:keepLines w:val="0"/>
        <w:pageBreakBefore w:val="0"/>
        <w:kinsoku/>
        <w:wordWrap/>
        <w:overflowPunct/>
        <w:topLinePunct w:val="0"/>
        <w:autoSpaceDE/>
        <w:autoSpaceDN/>
        <w:bidi w:val="0"/>
        <w:adjustRightInd/>
        <w:spacing w:line="360" w:lineRule="auto"/>
        <w:ind w:left="0"/>
        <w:textAlignment w:val="auto"/>
        <w:rPr>
          <w:rFonts w:hint="eastAsia" w:ascii="宋体" w:hAnsi="宋体" w:eastAsia="宋体" w:cs="宋体"/>
          <w:color w:val="auto"/>
          <w:sz w:val="22"/>
          <w:szCs w:val="22"/>
          <w:highlight w:val="none"/>
          <w:u w:val="single"/>
          <w:shd w:val="clear" w:color="auto" w:fill="auto"/>
        </w:rPr>
      </w:pPr>
    </w:p>
    <w:p>
      <w:pPr>
        <w:keepLines w:val="0"/>
        <w:pageBreakBefore w:val="0"/>
        <w:kinsoku/>
        <w:overflowPunct/>
        <w:topLinePunct w:val="0"/>
        <w:autoSpaceDE/>
        <w:autoSpaceDN/>
        <w:bidi w:val="0"/>
        <w:adjustRightInd/>
        <w:snapToGrid w:val="0"/>
        <w:spacing w:line="360" w:lineRule="auto"/>
        <w:jc w:val="left"/>
        <w:rPr>
          <w:rFonts w:hint="eastAsia" w:ascii="宋体" w:hAnsi="宋体" w:eastAsia="宋体" w:cs="宋体"/>
          <w:b/>
          <w:bCs/>
          <w:color w:val="000000"/>
          <w:sz w:val="22"/>
          <w:szCs w:val="22"/>
          <w:highlight w:val="none"/>
          <w:u w:val="single"/>
        </w:rPr>
      </w:pPr>
      <w:r>
        <w:rPr>
          <w:rFonts w:hint="eastAsia" w:ascii="宋体" w:hAnsi="宋体" w:eastAsia="宋体" w:cs="宋体"/>
          <w:b/>
          <w:bCs/>
          <w:color w:val="000000"/>
          <w:sz w:val="22"/>
          <w:szCs w:val="22"/>
          <w:highlight w:val="none"/>
          <w:u w:val="single"/>
        </w:rPr>
        <w:t>注：本合同作为示范文本，具体以</w:t>
      </w:r>
      <w:r>
        <w:rPr>
          <w:rFonts w:hint="eastAsia" w:ascii="宋体" w:hAnsi="宋体" w:eastAsia="宋体" w:cs="宋体"/>
          <w:b/>
          <w:bCs/>
          <w:color w:val="000000"/>
          <w:sz w:val="22"/>
          <w:szCs w:val="22"/>
          <w:highlight w:val="none"/>
          <w:u w:val="single"/>
          <w:lang w:val="en-US" w:eastAsia="zh-CN"/>
        </w:rPr>
        <w:t>成交人</w:t>
      </w:r>
      <w:r>
        <w:rPr>
          <w:rFonts w:hint="eastAsia" w:ascii="宋体" w:hAnsi="宋体" w:eastAsia="宋体" w:cs="宋体"/>
          <w:b/>
          <w:bCs/>
          <w:color w:val="000000"/>
          <w:sz w:val="22"/>
          <w:szCs w:val="22"/>
          <w:highlight w:val="none"/>
          <w:u w:val="single"/>
        </w:rPr>
        <w:t>与</w:t>
      </w:r>
      <w:r>
        <w:rPr>
          <w:rFonts w:hint="eastAsia" w:ascii="宋体" w:hAnsi="宋体" w:eastAsia="宋体" w:cs="宋体"/>
          <w:b/>
          <w:bCs/>
          <w:color w:val="000000"/>
          <w:sz w:val="22"/>
          <w:szCs w:val="22"/>
          <w:highlight w:val="none"/>
          <w:u w:val="single"/>
          <w:lang w:val="en-US" w:eastAsia="zh-CN"/>
        </w:rPr>
        <w:t>采购人</w:t>
      </w:r>
      <w:r>
        <w:rPr>
          <w:rFonts w:hint="eastAsia" w:ascii="宋体" w:hAnsi="宋体" w:eastAsia="宋体" w:cs="宋体"/>
          <w:b/>
          <w:bCs/>
          <w:color w:val="000000"/>
          <w:sz w:val="22"/>
          <w:szCs w:val="22"/>
          <w:highlight w:val="none"/>
          <w:u w:val="single"/>
        </w:rPr>
        <w:t>所签定正式合同为准。</w:t>
      </w:r>
    </w:p>
    <w:p>
      <w:pPr>
        <w:pStyle w:val="2"/>
        <w:rPr>
          <w:rFonts w:hint="eastAsia" w:ascii="宋体" w:hAnsi="宋体" w:eastAsia="宋体" w:cs="宋体"/>
          <w:color w:val="000000" w:themeColor="text1"/>
          <w:sz w:val="36"/>
          <w:szCs w:val="36"/>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br w:type="page"/>
      </w:r>
      <w:bookmarkStart w:id="172" w:name="_Toc49175241"/>
      <w:r>
        <w:rPr>
          <w:rFonts w:hint="eastAsia" w:ascii="宋体" w:hAnsi="宋体" w:eastAsia="宋体" w:cs="宋体"/>
          <w:color w:val="000000" w:themeColor="text1"/>
          <w:sz w:val="36"/>
          <w:szCs w:val="36"/>
          <w:highlight w:val="none"/>
          <w14:textFill>
            <w14:solidFill>
              <w14:schemeClr w14:val="tx1"/>
            </w14:solidFill>
          </w14:textFill>
        </w:rPr>
        <w:t>第三部分   附件</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2"/>
    </w:p>
    <w:p>
      <w:pPr>
        <w:spacing w:line="460" w:lineRule="exact"/>
        <w:rPr>
          <w:rFonts w:hint="eastAsia" w:ascii="宋体" w:hAnsi="宋体" w:eastAsia="宋体" w:cs="宋体"/>
          <w:b/>
          <w:bCs/>
          <w:color w:val="000000" w:themeColor="text1"/>
          <w:sz w:val="22"/>
          <w:szCs w:val="22"/>
          <w:highlight w:val="none"/>
          <w14:textFill>
            <w14:solidFill>
              <w14:schemeClr w14:val="tx1"/>
            </w14:solidFill>
          </w14:textFill>
        </w:rPr>
      </w:pPr>
    </w:p>
    <w:p>
      <w:pPr>
        <w:spacing w:line="460" w:lineRule="exact"/>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附件一</w:t>
      </w:r>
    </w:p>
    <w:p>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报价函</w:t>
      </w:r>
    </w:p>
    <w:p>
      <w:pPr>
        <w:spacing w:line="420" w:lineRule="exact"/>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浙江东方职业技术学院</w:t>
      </w:r>
    </w:p>
    <w:p>
      <w:pPr>
        <w:spacing w:line="42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浙江创嘉项目管理有限公司：</w:t>
      </w:r>
    </w:p>
    <w:p>
      <w:pPr>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根据贵方为</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项目（</w:t>
      </w:r>
      <w:r>
        <w:rPr>
          <w:rFonts w:hint="eastAsia" w:ascii="宋体" w:hAnsi="宋体" w:eastAsia="宋体" w:cs="宋体"/>
          <w:color w:val="000000" w:themeColor="text1"/>
          <w:sz w:val="22"/>
          <w:szCs w:val="22"/>
          <w:highlight w:val="none"/>
          <w:lang w:eastAsia="zh-CN"/>
          <w14:textFill>
            <w14:solidFill>
              <w14:schemeClr w14:val="tx1"/>
            </w14:solidFill>
          </w14:textFill>
        </w:rPr>
        <w:t>项目编号</w:t>
      </w:r>
      <w:r>
        <w:rPr>
          <w:rFonts w:hint="eastAsia" w:ascii="宋体" w:hAnsi="宋体" w:eastAsia="宋体" w:cs="宋体"/>
          <w:color w:val="000000" w:themeColor="text1"/>
          <w:sz w:val="22"/>
          <w:szCs w:val="22"/>
          <w:highlight w:val="none"/>
          <w14:textFill>
            <w14:solidFill>
              <w14:schemeClr w14:val="tx1"/>
            </w14:solidFill>
          </w14:textFill>
        </w:rPr>
        <w:t>：</w:t>
      </w:r>
      <w:r>
        <w:rPr>
          <w:rFonts w:hint="eastAsia" w:ascii="宋体" w:hAnsi="宋体" w:eastAsia="宋体" w:cs="宋体"/>
          <w:b/>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）的投标邀请，我方</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（供应商名称）作为供应商正式授权</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（授权代表全名，职务）代表我方处理有关本报价的一切事宜。</w:t>
      </w:r>
    </w:p>
    <w:p>
      <w:pPr>
        <w:pStyle w:val="7"/>
        <w:spacing w:line="360" w:lineRule="auto"/>
        <w:ind w:firstLine="469"/>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我方已按“供应商须知”要求编制单一来源响应文件【正本</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份，副本</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份】，并已密封装袋。</w:t>
      </w:r>
    </w:p>
    <w:p>
      <w:pPr>
        <w:pStyle w:val="7"/>
        <w:spacing w:line="360" w:lineRule="auto"/>
        <w:ind w:firstLine="46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我方己完全明白单一来源采购文件的所有条款要求，并重申以下几点：</w:t>
      </w:r>
    </w:p>
    <w:p>
      <w:pPr>
        <w:spacing w:line="360" w:lineRule="auto"/>
        <w:ind w:left="1019" w:leftChars="171" w:hanging="660" w:hangingChars="3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（一）本单一来源响应文件的有效期自单一来源响应文件提交截止时间起</w:t>
      </w:r>
      <w:r>
        <w:rPr>
          <w:rFonts w:hint="eastAsia" w:ascii="宋体" w:hAnsi="宋体" w:eastAsia="宋体" w:cs="宋体"/>
          <w:b/>
          <w:color w:val="000000" w:themeColor="text1"/>
          <w:sz w:val="22"/>
          <w:szCs w:val="22"/>
          <w:highlight w:val="none"/>
          <w:u w:val="single"/>
          <w14:textFill>
            <w14:solidFill>
              <w14:schemeClr w14:val="tx1"/>
            </w14:solidFill>
          </w14:textFill>
        </w:rPr>
        <w:t>90</w:t>
      </w:r>
      <w:r>
        <w:rPr>
          <w:rFonts w:hint="eastAsia" w:ascii="宋体" w:hAnsi="宋体" w:eastAsia="宋体" w:cs="宋体"/>
          <w:b/>
          <w:color w:val="000000" w:themeColor="text1"/>
          <w:sz w:val="22"/>
          <w:szCs w:val="22"/>
          <w:highlight w:val="none"/>
          <w14:textFill>
            <w14:solidFill>
              <w14:schemeClr w14:val="tx1"/>
            </w14:solidFill>
          </w14:textFill>
        </w:rPr>
        <w:t>天内</w:t>
      </w:r>
      <w:r>
        <w:rPr>
          <w:rFonts w:hint="eastAsia" w:ascii="宋体" w:hAnsi="宋体" w:eastAsia="宋体" w:cs="宋体"/>
          <w:color w:val="000000" w:themeColor="text1"/>
          <w:sz w:val="22"/>
          <w:szCs w:val="22"/>
          <w:highlight w:val="none"/>
          <w14:textFill>
            <w14:solidFill>
              <w14:schemeClr w14:val="tx1"/>
            </w14:solidFill>
          </w14:textFill>
        </w:rPr>
        <w:t>有效，如成交，有效期将延至合同终止日为止；</w:t>
      </w:r>
    </w:p>
    <w:p>
      <w:pPr>
        <w:spacing w:line="360" w:lineRule="auto"/>
        <w:ind w:left="1019" w:leftChars="171" w:hanging="660" w:hangingChars="3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（二）我方已详细研究了单一来源采购文件的所有内容包括修改书（如有）和所有已提供的参考资料以及有关附件，我方完全理解并同意放弃在此方面提出含糊意见或误解的一切权力；</w:t>
      </w:r>
    </w:p>
    <w:p>
      <w:pPr>
        <w:spacing w:line="360" w:lineRule="auto"/>
        <w:ind w:left="1019" w:leftChars="171" w:hanging="660" w:hangingChars="3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（三）我方同意提供按照贵方可能要求的与报价有关的一切数据或资料；</w:t>
      </w:r>
    </w:p>
    <w:p>
      <w:pPr>
        <w:spacing w:line="360" w:lineRule="auto"/>
        <w:ind w:left="1019" w:leftChars="171" w:hanging="660" w:hangingChars="300"/>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（四）我方如果成交，将保证履行单一来源采购文件以及单一来源采购文件修改书（如有）中的全部责任和义务，按质、按量、按期完成《合同书》中的全部任务。</w:t>
      </w:r>
    </w:p>
    <w:p>
      <w:pPr>
        <w:spacing w:line="360" w:lineRule="auto"/>
        <w:ind w:left="31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（五）所有与本次报价有关的函件请发往下列地址：</w:t>
      </w:r>
    </w:p>
    <w:p>
      <w:pPr>
        <w:spacing w:line="360" w:lineRule="auto"/>
        <w:ind w:firstLine="43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地址</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p>
    <w:p>
      <w:pPr>
        <w:spacing w:line="360" w:lineRule="auto"/>
        <w:ind w:firstLine="43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电话</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p>
    <w:p>
      <w:pPr>
        <w:spacing w:line="360" w:lineRule="auto"/>
        <w:ind w:firstLine="435"/>
        <w:rPr>
          <w:rFonts w:hint="eastAsia" w:ascii="宋体" w:hAnsi="宋体" w:eastAsia="宋体" w:cs="宋体"/>
          <w:color w:val="000000" w:themeColor="text1"/>
          <w:sz w:val="22"/>
          <w:szCs w:val="22"/>
          <w:highlight w:val="none"/>
          <w:u w:val="singl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传真</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p>
    <w:p>
      <w:pPr>
        <w:spacing w:line="360" w:lineRule="auto"/>
        <w:ind w:firstLine="770" w:firstLineChars="350"/>
        <w:rPr>
          <w:rFonts w:hint="eastAsia" w:ascii="宋体" w:hAnsi="宋体" w:eastAsia="宋体" w:cs="宋体"/>
          <w:color w:val="000000" w:themeColor="text1"/>
          <w:sz w:val="22"/>
          <w:szCs w:val="22"/>
          <w:highlight w:val="none"/>
          <w:u w:val="singl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电子邮件</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p>
    <w:p>
      <w:pPr>
        <w:spacing w:line="360" w:lineRule="auto"/>
        <w:ind w:firstLine="43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供应商名称（公章）</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p>
    <w:p>
      <w:pPr>
        <w:spacing w:line="360" w:lineRule="auto"/>
        <w:ind w:firstLine="43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法定代表人或授权代表（签字）：</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p>
    <w:p>
      <w:pPr>
        <w:pStyle w:val="15"/>
        <w:snapToGrid w:val="0"/>
        <w:spacing w:line="360" w:lineRule="auto"/>
        <w:ind w:firstLine="3520" w:firstLineChars="1600"/>
        <w:rPr>
          <w:rFonts w:hint="eastAsia" w:ascii="宋体" w:hAnsi="宋体" w:eastAsia="宋体" w:cs="宋体"/>
          <w:color w:val="000000" w:themeColor="text1"/>
          <w:sz w:val="22"/>
          <w:szCs w:val="22"/>
          <w:highlight w:val="none"/>
          <w:u w:val="singl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日期</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p>
    <w:p>
      <w:pPr>
        <w:pStyle w:val="15"/>
        <w:snapToGrid w:val="0"/>
        <w:spacing w:line="360" w:lineRule="auto"/>
        <w:ind w:firstLine="3520" w:firstLineChars="1600"/>
        <w:rPr>
          <w:rFonts w:hint="eastAsia" w:ascii="宋体" w:hAnsi="宋体" w:eastAsia="宋体" w:cs="宋体"/>
          <w:color w:val="000000" w:themeColor="text1"/>
          <w:sz w:val="22"/>
          <w:szCs w:val="22"/>
          <w:highlight w:val="none"/>
          <w:u w:val="single"/>
          <w14:textFill>
            <w14:solidFill>
              <w14:schemeClr w14:val="tx1"/>
            </w14:solidFill>
          </w14:textFill>
        </w:rPr>
      </w:pPr>
    </w:p>
    <w:p>
      <w:pPr>
        <w:pStyle w:val="15"/>
        <w:snapToGrid w:val="0"/>
        <w:spacing w:line="360" w:lineRule="auto"/>
        <w:ind w:firstLine="3520" w:firstLineChars="1600"/>
        <w:rPr>
          <w:rFonts w:hint="eastAsia" w:ascii="宋体" w:hAnsi="宋体" w:eastAsia="宋体" w:cs="宋体"/>
          <w:color w:val="000000" w:themeColor="text1"/>
          <w:sz w:val="22"/>
          <w:szCs w:val="22"/>
          <w:highlight w:val="none"/>
          <w14:textFill>
            <w14:solidFill>
              <w14:schemeClr w14:val="tx1"/>
            </w14:solidFill>
          </w14:textFill>
        </w:rPr>
      </w:pPr>
    </w:p>
    <w:p>
      <w:pPr>
        <w:spacing w:line="360" w:lineRule="auto"/>
        <w:rPr>
          <w:rFonts w:hint="eastAsia" w:ascii="宋体" w:hAnsi="宋体" w:eastAsia="宋体" w:cs="宋体"/>
          <w:color w:val="000000" w:themeColor="text1"/>
          <w:sz w:val="22"/>
          <w:szCs w:val="22"/>
          <w:highlight w:val="none"/>
          <w:u w:val="single"/>
          <w14:textFill>
            <w14:solidFill>
              <w14:schemeClr w14:val="tx1"/>
            </w14:solidFill>
          </w14:textFill>
        </w:rPr>
        <w:sectPr>
          <w:headerReference r:id="rId3" w:type="default"/>
          <w:footerReference r:id="rId4" w:type="default"/>
          <w:footerReference r:id="rId5" w:type="even"/>
          <w:pgSz w:w="11906" w:h="16838"/>
          <w:pgMar w:top="1134" w:right="1134" w:bottom="1134" w:left="1134" w:header="851" w:footer="851" w:gutter="0"/>
          <w:pgNumType w:start="0"/>
          <w:cols w:space="720" w:num="1"/>
          <w:titlePg/>
          <w:docGrid w:linePitch="312" w:charSpace="0"/>
        </w:sectPr>
      </w:pPr>
      <w:r>
        <w:rPr>
          <w:rFonts w:hint="eastAsia" w:ascii="宋体" w:hAnsi="宋体" w:eastAsia="宋体" w:cs="宋体"/>
          <w:bCs/>
          <w:color w:val="000000" w:themeColor="text1"/>
          <w:sz w:val="22"/>
          <w:szCs w:val="22"/>
          <w:highlight w:val="none"/>
          <w:u w:val="single"/>
          <w14:textFill>
            <w14:solidFill>
              <w14:schemeClr w14:val="tx1"/>
            </w14:solidFill>
          </w14:textFill>
        </w:rPr>
        <w:t>▲</w:t>
      </w:r>
      <w:r>
        <w:rPr>
          <w:rFonts w:hint="eastAsia" w:ascii="宋体" w:hAnsi="宋体" w:eastAsia="宋体" w:cs="宋体"/>
          <w:b/>
          <w:color w:val="000000" w:themeColor="text1"/>
          <w:sz w:val="22"/>
          <w:szCs w:val="22"/>
          <w:highlight w:val="none"/>
          <w:u w:val="single"/>
          <w14:textFill>
            <w14:solidFill>
              <w14:schemeClr w14:val="tx1"/>
            </w14:solidFill>
          </w14:textFill>
        </w:rPr>
        <w:t>不提供此函的单一来源响应文件将被视为未实质性响应单一来源采购文件。</w:t>
      </w:r>
    </w:p>
    <w:p>
      <w:pPr>
        <w:spacing w:line="380" w:lineRule="exact"/>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 xml:space="preserve">附件二 </w:t>
      </w:r>
    </w:p>
    <w:p>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谈判报价一览表</w:t>
      </w:r>
    </w:p>
    <w:p>
      <w:pPr>
        <w:spacing w:line="460" w:lineRule="exact"/>
        <w:jc w:val="left"/>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 xml:space="preserve">                                                            单位：人民币元</w:t>
      </w:r>
    </w:p>
    <w:tbl>
      <w:tblPr>
        <w:tblStyle w:val="28"/>
        <w:tblW w:w="4992"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52"/>
        <w:gridCol w:w="528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rPr>
        <w:tc>
          <w:tcPr>
            <w:tcW w:w="2313" w:type="pct"/>
            <w:vAlign w:val="center"/>
          </w:tcPr>
          <w:p>
            <w:pPr>
              <w:pStyle w:val="15"/>
              <w:spacing w:line="460" w:lineRule="atLeast"/>
              <w:jc w:val="center"/>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项目名称</w:t>
            </w:r>
          </w:p>
        </w:tc>
        <w:tc>
          <w:tcPr>
            <w:tcW w:w="2686" w:type="pct"/>
            <w:vAlign w:val="center"/>
          </w:tcPr>
          <w:p>
            <w:pPr>
              <w:pStyle w:val="15"/>
              <w:spacing w:line="460" w:lineRule="atLeast"/>
              <w:jc w:val="center"/>
              <w:rPr>
                <w:rFonts w:hint="eastAsia" w:ascii="宋体" w:hAnsi="宋体" w:eastAsia="宋体" w:cs="宋体"/>
                <w:color w:val="000000" w:themeColor="text1"/>
                <w:sz w:val="22"/>
                <w:szCs w:val="22"/>
                <w:highlight w:val="none"/>
                <w:lang w:val="en-US"/>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合同履约期限</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trPr>
        <w:tc>
          <w:tcPr>
            <w:tcW w:w="2313" w:type="pct"/>
            <w:vAlign w:val="center"/>
          </w:tcPr>
          <w:p>
            <w:pPr>
              <w:pStyle w:val="15"/>
              <w:spacing w:line="460" w:lineRule="atLeast"/>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标准化考场网上巡查系统改建</w:t>
            </w:r>
          </w:p>
        </w:tc>
        <w:tc>
          <w:tcPr>
            <w:tcW w:w="2686" w:type="pct"/>
            <w:vAlign w:val="center"/>
          </w:tcPr>
          <w:p>
            <w:pPr>
              <w:pStyle w:val="15"/>
              <w:spacing w:line="460" w:lineRule="atLeast"/>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在签订合同后45日内完成整体系统调试工作，并为甲方提供后续设系统调试服务升级工作。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267" w:hRule="atLeast"/>
        </w:trPr>
        <w:tc>
          <w:tcPr>
            <w:tcW w:w="2313" w:type="pct"/>
            <w:vMerge w:val="restart"/>
            <w:vAlign w:val="center"/>
          </w:tcPr>
          <w:p>
            <w:pPr>
              <w:pStyle w:val="15"/>
              <w:spacing w:line="460" w:lineRule="atLeast"/>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谈判报价</w:t>
            </w:r>
          </w:p>
        </w:tc>
        <w:tc>
          <w:tcPr>
            <w:tcW w:w="2686" w:type="pct"/>
            <w:vAlign w:val="center"/>
          </w:tcPr>
          <w:p>
            <w:pPr>
              <w:pStyle w:val="15"/>
              <w:spacing w:line="460" w:lineRule="atLeas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（大写）人民币：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267" w:hRule="atLeast"/>
        </w:trPr>
        <w:tc>
          <w:tcPr>
            <w:tcW w:w="2313" w:type="pct"/>
            <w:vMerge w:val="continue"/>
            <w:vAlign w:val="center"/>
          </w:tcPr>
          <w:p>
            <w:pPr>
              <w:pStyle w:val="15"/>
              <w:spacing w:line="460" w:lineRule="atLeast"/>
              <w:rPr>
                <w:rFonts w:hint="eastAsia" w:ascii="宋体" w:hAnsi="宋体" w:eastAsia="宋体" w:cs="宋体"/>
                <w:color w:val="000000" w:themeColor="text1"/>
                <w:sz w:val="22"/>
                <w:szCs w:val="22"/>
                <w:highlight w:val="none"/>
                <w14:textFill>
                  <w14:solidFill>
                    <w14:schemeClr w14:val="tx1"/>
                  </w14:solidFill>
                </w14:textFill>
              </w:rPr>
            </w:pPr>
          </w:p>
        </w:tc>
        <w:tc>
          <w:tcPr>
            <w:tcW w:w="2686" w:type="pct"/>
            <w:vAlign w:val="center"/>
          </w:tcPr>
          <w:p>
            <w:pPr>
              <w:pStyle w:val="15"/>
              <w:spacing w:line="460" w:lineRule="atLeas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（小写）</w:t>
            </w:r>
            <w:r>
              <w:rPr>
                <w:rFonts w:hint="eastAsia" w:ascii="宋体" w:hAnsi="宋体" w:eastAsia="宋体" w:cs="宋体"/>
                <w:color w:val="000000" w:themeColor="text1"/>
                <w:sz w:val="26"/>
                <w:szCs w:val="26"/>
                <w:highlight w:val="none"/>
                <w14:textFill>
                  <w14:solidFill>
                    <w14:schemeClr w14:val="tx1"/>
                  </w14:solidFill>
                </w14:textFill>
              </w:rPr>
              <w:t>¥：</w:t>
            </w:r>
          </w:p>
        </w:tc>
      </w:tr>
    </w:tbl>
    <w:p>
      <w:pPr>
        <w:spacing w:line="380" w:lineRule="exact"/>
        <w:ind w:left="525" w:leftChars="-71" w:hanging="674" w:hangingChars="305"/>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说明：</w:t>
      </w:r>
    </w:p>
    <w:p>
      <w:pPr>
        <w:spacing w:line="380" w:lineRule="exact"/>
        <w:ind w:left="528" w:leftChars="-15" w:hanging="559" w:hangingChars="253"/>
        <w:rPr>
          <w:rFonts w:hint="eastAsia"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1、《谈判报价一览表》中“谈判报价”应</w:t>
      </w:r>
      <w:r>
        <w:rPr>
          <w:rFonts w:hint="eastAsia" w:ascii="宋体" w:hAnsi="宋体" w:eastAsia="宋体" w:cs="宋体"/>
          <w:b/>
          <w:color w:val="000000"/>
          <w:sz w:val="22"/>
          <w:highlight w:val="none"/>
        </w:rPr>
        <w:t>与附件三《分项报价表》中“谈判总价”相一致</w:t>
      </w:r>
      <w:r>
        <w:rPr>
          <w:rFonts w:hint="eastAsia" w:ascii="宋体" w:hAnsi="宋体" w:eastAsia="宋体" w:cs="宋体"/>
          <w:b/>
          <w:bCs/>
          <w:color w:val="000000"/>
          <w:sz w:val="22"/>
          <w:szCs w:val="22"/>
          <w:highlight w:val="none"/>
        </w:rPr>
        <w:t xml:space="preserve">。 </w:t>
      </w:r>
    </w:p>
    <w:p>
      <w:pPr>
        <w:spacing w:line="380" w:lineRule="exact"/>
        <w:ind w:left="528" w:leftChars="-15" w:hanging="559" w:hangingChars="253"/>
        <w:rPr>
          <w:rFonts w:hint="eastAsia" w:ascii="宋体" w:hAnsi="宋体" w:eastAsia="宋体" w:cs="宋体"/>
          <w:b/>
          <w:color w:val="000000"/>
          <w:sz w:val="22"/>
          <w:highlight w:val="none"/>
          <w:u w:val="single"/>
        </w:rPr>
      </w:pPr>
      <w:r>
        <w:rPr>
          <w:rFonts w:hint="eastAsia" w:ascii="宋体" w:hAnsi="宋体" w:eastAsia="宋体" w:cs="宋体"/>
          <w:b/>
          <w:bCs/>
          <w:color w:val="000000"/>
          <w:sz w:val="22"/>
          <w:szCs w:val="22"/>
          <w:highlight w:val="none"/>
        </w:rPr>
        <w:t>2、▲</w:t>
      </w:r>
      <w:r>
        <w:rPr>
          <w:rFonts w:hint="eastAsia" w:ascii="宋体" w:hAnsi="宋体" w:eastAsia="宋体" w:cs="宋体"/>
          <w:b/>
          <w:color w:val="000000"/>
          <w:sz w:val="22"/>
          <w:szCs w:val="22"/>
          <w:highlight w:val="none"/>
          <w:u w:val="single"/>
        </w:rPr>
        <w:t>不按要求提供谈判报价一览表的单一来源响应文件将被视为未实质性响应单一来源采购文件</w:t>
      </w:r>
      <w:r>
        <w:rPr>
          <w:rFonts w:hint="eastAsia" w:ascii="宋体" w:hAnsi="宋体" w:eastAsia="宋体" w:cs="宋体"/>
          <w:b/>
          <w:color w:val="000000"/>
          <w:sz w:val="22"/>
          <w:highlight w:val="none"/>
          <w:u w:val="single"/>
        </w:rPr>
        <w:t>。</w:t>
      </w:r>
    </w:p>
    <w:p>
      <w:pPr>
        <w:spacing w:line="380" w:lineRule="exact"/>
        <w:rPr>
          <w:rFonts w:hint="eastAsia" w:ascii="宋体" w:hAnsi="宋体" w:eastAsia="宋体" w:cs="宋体"/>
          <w:b/>
          <w:color w:val="000000"/>
          <w:sz w:val="22"/>
          <w:highlight w:val="none"/>
          <w:u w:val="single"/>
        </w:rPr>
      </w:pPr>
      <w:r>
        <w:rPr>
          <w:rFonts w:hint="eastAsia" w:ascii="宋体" w:hAnsi="宋体" w:eastAsia="宋体" w:cs="宋体"/>
          <w:b/>
          <w:bCs/>
          <w:color w:val="000000"/>
          <w:sz w:val="22"/>
          <w:szCs w:val="22"/>
          <w:highlight w:val="none"/>
        </w:rPr>
        <w:t>3、</w:t>
      </w:r>
      <w:r>
        <w:rPr>
          <w:rFonts w:hint="eastAsia" w:ascii="宋体" w:hAnsi="宋体" w:eastAsia="宋体" w:cs="宋体"/>
          <w:b/>
          <w:bCs/>
          <w:sz w:val="22"/>
          <w:szCs w:val="22"/>
          <w:highlight w:val="none"/>
        </w:rPr>
        <w:t>▲</w:t>
      </w:r>
      <w:r>
        <w:rPr>
          <w:rFonts w:hint="eastAsia" w:ascii="宋体" w:hAnsi="宋体" w:eastAsia="宋体" w:cs="宋体"/>
          <w:b/>
          <w:bCs/>
          <w:sz w:val="22"/>
          <w:szCs w:val="22"/>
          <w:highlight w:val="none"/>
          <w:u w:val="single"/>
        </w:rPr>
        <w:t>本项目报价</w:t>
      </w:r>
      <w:r>
        <w:rPr>
          <w:rFonts w:hint="eastAsia" w:ascii="宋体" w:hAnsi="宋体" w:eastAsia="宋体" w:cs="宋体"/>
          <w:b/>
          <w:bCs/>
          <w:color w:val="000000"/>
          <w:sz w:val="22"/>
          <w:szCs w:val="22"/>
          <w:highlight w:val="none"/>
          <w:u w:val="single"/>
        </w:rPr>
        <w:t>是指供应商在正确地完全履行合同义务后</w:t>
      </w:r>
      <w:r>
        <w:rPr>
          <w:rFonts w:hint="eastAsia" w:ascii="宋体" w:hAnsi="宋体" w:eastAsia="宋体" w:cs="宋体"/>
          <w:b/>
          <w:bCs/>
          <w:color w:val="000000"/>
          <w:sz w:val="22"/>
          <w:szCs w:val="22"/>
          <w:highlight w:val="none"/>
          <w:u w:val="single"/>
          <w:lang w:val="en-US" w:eastAsia="zh-CN"/>
        </w:rPr>
        <w:t>采购人</w:t>
      </w:r>
      <w:r>
        <w:rPr>
          <w:rFonts w:hint="eastAsia" w:ascii="宋体" w:hAnsi="宋体" w:eastAsia="宋体" w:cs="宋体"/>
          <w:b/>
          <w:bCs/>
          <w:color w:val="000000"/>
          <w:sz w:val="22"/>
          <w:szCs w:val="22"/>
          <w:highlight w:val="none"/>
          <w:u w:val="single"/>
        </w:rPr>
        <w:t>应支付给供应商的所有价款</w:t>
      </w:r>
      <w:r>
        <w:rPr>
          <w:rFonts w:hint="eastAsia" w:ascii="宋体" w:hAnsi="宋体" w:eastAsia="宋体" w:cs="宋体"/>
          <w:b/>
          <w:bCs/>
          <w:sz w:val="22"/>
          <w:szCs w:val="22"/>
          <w:highlight w:val="none"/>
          <w:u w:val="single"/>
        </w:rPr>
        <w:t>，包含税金、管理费、利润、风险费等一切成本及费用。供应商应根据上述因素自行考虑含入总价。</w:t>
      </w:r>
      <w:r>
        <w:rPr>
          <w:rFonts w:hint="eastAsia" w:ascii="宋体" w:hAnsi="宋体" w:eastAsia="宋体" w:cs="宋体"/>
          <w:b/>
          <w:bCs/>
          <w:color w:val="000000"/>
          <w:sz w:val="22"/>
          <w:szCs w:val="22"/>
          <w:highlight w:val="none"/>
          <w:u w:val="single"/>
        </w:rPr>
        <w:t>供应商须充分考虑本项目的特殊性和不可预见性在内的所有为完成本项目引起的费用等所需的各项应有费用。</w:t>
      </w:r>
    </w:p>
    <w:p>
      <w:pPr>
        <w:pStyle w:val="12"/>
        <w:spacing w:line="440" w:lineRule="exact"/>
        <w:ind w:left="851" w:firstLine="0" w:firstLineChars="0"/>
        <w:rPr>
          <w:rFonts w:hint="eastAsia" w:ascii="宋体" w:hAnsi="宋体" w:eastAsia="宋体" w:cs="宋体"/>
          <w:b/>
          <w:color w:val="000000" w:themeColor="text1"/>
          <w:sz w:val="22"/>
          <w:szCs w:val="22"/>
          <w:highlight w:val="none"/>
          <w:u w:val="single"/>
          <w14:textFill>
            <w14:solidFill>
              <w14:schemeClr w14:val="tx1"/>
            </w14:solidFill>
          </w14:textFill>
        </w:rPr>
      </w:pPr>
    </w:p>
    <w:p>
      <w:pPr>
        <w:spacing w:line="380" w:lineRule="exact"/>
        <w:rPr>
          <w:rFonts w:hint="eastAsia" w:ascii="宋体" w:hAnsi="宋体" w:eastAsia="宋体" w:cs="宋体"/>
          <w:b/>
          <w:color w:val="000000" w:themeColor="text1"/>
          <w:sz w:val="22"/>
          <w:szCs w:val="22"/>
          <w:highlight w:val="none"/>
          <w14:textFill>
            <w14:solidFill>
              <w14:schemeClr w14:val="tx1"/>
            </w14:solidFill>
          </w14:textFill>
        </w:rPr>
      </w:pPr>
    </w:p>
    <w:p>
      <w:pPr>
        <w:spacing w:line="380" w:lineRule="exact"/>
        <w:ind w:firstLine="4417" w:firstLineChars="2000"/>
        <w:rPr>
          <w:rFonts w:hint="eastAsia" w:ascii="宋体" w:hAnsi="宋体" w:eastAsia="宋体" w:cs="宋体"/>
          <w:b/>
          <w:bCs/>
          <w:color w:val="000000" w:themeColor="text1"/>
          <w:sz w:val="22"/>
          <w:szCs w:val="22"/>
          <w:highlight w:val="none"/>
          <w14:textFill>
            <w14:solidFill>
              <w14:schemeClr w14:val="tx1"/>
            </w14:solidFill>
          </w14:textFill>
        </w:rPr>
      </w:pPr>
    </w:p>
    <w:p>
      <w:pPr>
        <w:spacing w:line="380" w:lineRule="exact"/>
        <w:ind w:firstLine="4417" w:firstLineChars="2000"/>
        <w:rPr>
          <w:rFonts w:hint="eastAsia" w:ascii="宋体" w:hAnsi="宋体" w:eastAsia="宋体" w:cs="宋体"/>
          <w:b/>
          <w:bCs/>
          <w:color w:val="000000" w:themeColor="text1"/>
          <w:sz w:val="22"/>
          <w:szCs w:val="22"/>
          <w:highlight w:val="none"/>
          <w14:textFill>
            <w14:solidFill>
              <w14:schemeClr w14:val="tx1"/>
            </w14:solidFill>
          </w14:textFill>
        </w:rPr>
      </w:pPr>
    </w:p>
    <w:p>
      <w:pPr>
        <w:spacing w:line="380" w:lineRule="exact"/>
        <w:ind w:firstLine="4400" w:firstLineChars="20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供应商全称（盖章）：</w:t>
      </w:r>
    </w:p>
    <w:p>
      <w:pPr>
        <w:spacing w:line="380" w:lineRule="exact"/>
        <w:ind w:firstLine="4400" w:firstLineChars="20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法定代表人或授权代表（签字或盖章）：</w:t>
      </w:r>
    </w:p>
    <w:p>
      <w:pPr>
        <w:spacing w:line="380" w:lineRule="exact"/>
        <w:ind w:firstLine="4400" w:firstLineChars="20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日期：  年   月  日</w:t>
      </w:r>
    </w:p>
    <w:p>
      <w:pPr>
        <w:spacing w:line="380" w:lineRule="exact"/>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br w:type="page"/>
      </w:r>
    </w:p>
    <w:p>
      <w:pPr>
        <w:spacing w:line="380" w:lineRule="exact"/>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附件三</w:t>
      </w:r>
    </w:p>
    <w:p>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分项报价表</w:t>
      </w:r>
    </w:p>
    <w:p>
      <w:pPr>
        <w:pStyle w:val="12"/>
        <w:ind w:firstLine="220"/>
        <w:rPr>
          <w:rFonts w:hint="eastAsia" w:ascii="宋体" w:hAnsi="宋体" w:eastAsia="宋体" w:cs="宋体"/>
          <w:color w:val="000000" w:themeColor="text1"/>
          <w:sz w:val="22"/>
          <w:szCs w:val="22"/>
          <w:highlight w:val="none"/>
          <w14:textFill>
            <w14:solidFill>
              <w14:schemeClr w14:val="tx1"/>
            </w14:solidFill>
          </w14:textFill>
        </w:rPr>
      </w:pPr>
    </w:p>
    <w:p>
      <w:pPr>
        <w:rPr>
          <w:rFonts w:hint="eastAsia" w:ascii="宋体" w:hAnsi="宋体" w:eastAsia="宋体" w:cs="宋体"/>
          <w:sz w:val="22"/>
          <w:highlight w:val="none"/>
        </w:rPr>
      </w:pPr>
      <w:r>
        <w:rPr>
          <w:rFonts w:hint="eastAsia" w:ascii="宋体" w:hAnsi="宋体" w:eastAsia="宋体" w:cs="宋体"/>
          <w:sz w:val="22"/>
          <w:highlight w:val="none"/>
        </w:rPr>
        <w:t>项目名称：                                          （价格单位：元）</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
        <w:gridCol w:w="3677"/>
        <w:gridCol w:w="5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515" w:type="pct"/>
            <w:noWrap w:val="0"/>
            <w:vAlign w:val="center"/>
          </w:tcPr>
          <w:p>
            <w:pPr>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序号</w:t>
            </w:r>
          </w:p>
        </w:tc>
        <w:tc>
          <w:tcPr>
            <w:tcW w:w="1865" w:type="pct"/>
            <w:noWrap w:val="0"/>
            <w:vAlign w:val="center"/>
          </w:tcPr>
          <w:p>
            <w:pPr>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内容</w:t>
            </w:r>
          </w:p>
        </w:tc>
        <w:tc>
          <w:tcPr>
            <w:tcW w:w="2618" w:type="pct"/>
            <w:noWrap w:val="0"/>
            <w:vAlign w:val="center"/>
          </w:tcPr>
          <w:p>
            <w:pPr>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价格（</w:t>
            </w:r>
            <w:r>
              <w:rPr>
                <w:rFonts w:hint="eastAsia" w:ascii="宋体" w:hAnsi="宋体" w:eastAsia="宋体" w:cs="宋体"/>
                <w:sz w:val="22"/>
                <w:highlight w:val="none"/>
              </w:rPr>
              <w:t>元</w:t>
            </w:r>
            <w:r>
              <w:rPr>
                <w:rFonts w:hint="eastAsia" w:ascii="宋体" w:hAnsi="宋体" w:eastAsia="宋体" w:cs="宋体"/>
                <w:kern w:val="0"/>
                <w:sz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515" w:type="pct"/>
            <w:noWrap w:val="0"/>
            <w:vAlign w:val="center"/>
          </w:tcPr>
          <w:p>
            <w:pPr>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1</w:t>
            </w:r>
          </w:p>
        </w:tc>
        <w:tc>
          <w:tcPr>
            <w:tcW w:w="1865" w:type="pct"/>
            <w:noWrap w:val="0"/>
            <w:vAlign w:val="center"/>
          </w:tcPr>
          <w:p>
            <w:pPr>
              <w:spacing w:before="240"/>
              <w:jc w:val="center"/>
              <w:rPr>
                <w:rFonts w:hint="eastAsia" w:ascii="宋体" w:hAnsi="宋体" w:eastAsia="宋体" w:cs="宋体"/>
                <w:kern w:val="0"/>
                <w:sz w:val="22"/>
                <w:highlight w:val="none"/>
              </w:rPr>
            </w:pPr>
          </w:p>
        </w:tc>
        <w:tc>
          <w:tcPr>
            <w:tcW w:w="2618" w:type="pct"/>
            <w:noWrap w:val="0"/>
            <w:vAlign w:val="center"/>
          </w:tcPr>
          <w:p>
            <w:pPr>
              <w:jc w:val="center"/>
              <w:rPr>
                <w:rFonts w:hint="eastAsia" w:ascii="宋体" w:hAnsi="宋体" w:eastAsia="宋体" w:cs="宋体"/>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515" w:type="pct"/>
            <w:noWrap w:val="0"/>
            <w:vAlign w:val="center"/>
          </w:tcPr>
          <w:p>
            <w:pPr>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2</w:t>
            </w:r>
          </w:p>
        </w:tc>
        <w:tc>
          <w:tcPr>
            <w:tcW w:w="1865" w:type="pct"/>
            <w:noWrap w:val="0"/>
            <w:vAlign w:val="center"/>
          </w:tcPr>
          <w:p>
            <w:pPr>
              <w:spacing w:before="240"/>
              <w:jc w:val="center"/>
              <w:rPr>
                <w:rFonts w:hint="eastAsia" w:ascii="宋体" w:hAnsi="宋体" w:eastAsia="宋体" w:cs="宋体"/>
                <w:kern w:val="0"/>
                <w:sz w:val="22"/>
                <w:highlight w:val="none"/>
              </w:rPr>
            </w:pPr>
          </w:p>
        </w:tc>
        <w:tc>
          <w:tcPr>
            <w:tcW w:w="2618" w:type="pct"/>
            <w:noWrap w:val="0"/>
            <w:vAlign w:val="center"/>
          </w:tcPr>
          <w:p>
            <w:pPr>
              <w:jc w:val="center"/>
              <w:rPr>
                <w:rFonts w:hint="eastAsia" w:ascii="宋体" w:hAnsi="宋体" w:eastAsia="宋体" w:cs="宋体"/>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515" w:type="pct"/>
            <w:noWrap w:val="0"/>
            <w:vAlign w:val="center"/>
          </w:tcPr>
          <w:p>
            <w:pPr>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3</w:t>
            </w:r>
          </w:p>
        </w:tc>
        <w:tc>
          <w:tcPr>
            <w:tcW w:w="1865" w:type="pct"/>
            <w:noWrap w:val="0"/>
            <w:vAlign w:val="center"/>
          </w:tcPr>
          <w:p>
            <w:pPr>
              <w:jc w:val="center"/>
              <w:rPr>
                <w:rFonts w:hint="eastAsia" w:ascii="宋体" w:hAnsi="宋体" w:eastAsia="宋体" w:cs="宋体"/>
                <w:kern w:val="0"/>
                <w:sz w:val="22"/>
                <w:highlight w:val="none"/>
              </w:rPr>
            </w:pPr>
          </w:p>
        </w:tc>
        <w:tc>
          <w:tcPr>
            <w:tcW w:w="2618" w:type="pct"/>
            <w:noWrap w:val="0"/>
            <w:vAlign w:val="center"/>
          </w:tcPr>
          <w:p>
            <w:pPr>
              <w:jc w:val="center"/>
              <w:rPr>
                <w:rFonts w:hint="eastAsia" w:ascii="宋体" w:hAnsi="宋体" w:eastAsia="宋体" w:cs="宋体"/>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515" w:type="pct"/>
            <w:noWrap w:val="0"/>
            <w:vAlign w:val="center"/>
          </w:tcPr>
          <w:p>
            <w:pPr>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4</w:t>
            </w:r>
          </w:p>
        </w:tc>
        <w:tc>
          <w:tcPr>
            <w:tcW w:w="1865" w:type="pct"/>
            <w:noWrap w:val="0"/>
            <w:vAlign w:val="center"/>
          </w:tcPr>
          <w:p>
            <w:pPr>
              <w:spacing w:before="240"/>
              <w:jc w:val="center"/>
              <w:rPr>
                <w:rFonts w:hint="eastAsia" w:ascii="宋体" w:hAnsi="宋体" w:eastAsia="宋体" w:cs="宋体"/>
                <w:kern w:val="0"/>
                <w:sz w:val="22"/>
                <w:highlight w:val="none"/>
              </w:rPr>
            </w:pPr>
          </w:p>
        </w:tc>
        <w:tc>
          <w:tcPr>
            <w:tcW w:w="2618" w:type="pct"/>
            <w:noWrap w:val="0"/>
            <w:vAlign w:val="center"/>
          </w:tcPr>
          <w:p>
            <w:pPr>
              <w:jc w:val="center"/>
              <w:rPr>
                <w:rFonts w:hint="eastAsia" w:ascii="宋体" w:hAnsi="宋体" w:eastAsia="宋体" w:cs="宋体"/>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515" w:type="pct"/>
            <w:noWrap w:val="0"/>
            <w:vAlign w:val="center"/>
          </w:tcPr>
          <w:p>
            <w:pPr>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5</w:t>
            </w:r>
          </w:p>
        </w:tc>
        <w:tc>
          <w:tcPr>
            <w:tcW w:w="1865" w:type="pct"/>
            <w:noWrap w:val="0"/>
            <w:vAlign w:val="center"/>
          </w:tcPr>
          <w:p>
            <w:pPr>
              <w:jc w:val="center"/>
              <w:rPr>
                <w:rFonts w:hint="eastAsia" w:ascii="宋体" w:hAnsi="宋体" w:eastAsia="宋体" w:cs="宋体"/>
                <w:kern w:val="0"/>
                <w:sz w:val="22"/>
                <w:highlight w:val="none"/>
              </w:rPr>
            </w:pPr>
          </w:p>
        </w:tc>
        <w:tc>
          <w:tcPr>
            <w:tcW w:w="2618" w:type="pct"/>
            <w:noWrap w:val="0"/>
            <w:vAlign w:val="center"/>
          </w:tcPr>
          <w:p>
            <w:pPr>
              <w:jc w:val="center"/>
              <w:rPr>
                <w:rFonts w:hint="eastAsia" w:ascii="宋体" w:hAnsi="宋体" w:eastAsia="宋体" w:cs="宋体"/>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515" w:type="pct"/>
            <w:noWrap w:val="0"/>
            <w:vAlign w:val="center"/>
          </w:tcPr>
          <w:p>
            <w:pPr>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6</w:t>
            </w:r>
          </w:p>
        </w:tc>
        <w:tc>
          <w:tcPr>
            <w:tcW w:w="1865" w:type="pct"/>
            <w:noWrap w:val="0"/>
            <w:vAlign w:val="center"/>
          </w:tcPr>
          <w:p>
            <w:pPr>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w:t>
            </w:r>
          </w:p>
        </w:tc>
        <w:tc>
          <w:tcPr>
            <w:tcW w:w="2618" w:type="pct"/>
            <w:noWrap w:val="0"/>
            <w:vAlign w:val="center"/>
          </w:tcPr>
          <w:p>
            <w:pPr>
              <w:jc w:val="center"/>
              <w:rPr>
                <w:rFonts w:hint="eastAsia" w:ascii="宋体" w:hAnsi="宋体" w:eastAsia="宋体" w:cs="宋体"/>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2381" w:type="pct"/>
            <w:gridSpan w:val="2"/>
            <w:noWrap w:val="0"/>
            <w:vAlign w:val="center"/>
          </w:tcPr>
          <w:p>
            <w:pPr>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合计</w:t>
            </w:r>
          </w:p>
        </w:tc>
        <w:tc>
          <w:tcPr>
            <w:tcW w:w="2618" w:type="pct"/>
            <w:noWrap w:val="0"/>
            <w:vAlign w:val="center"/>
          </w:tcPr>
          <w:p>
            <w:pPr>
              <w:jc w:val="center"/>
              <w:rPr>
                <w:rFonts w:hint="eastAsia" w:ascii="宋体" w:hAnsi="宋体" w:eastAsia="宋体" w:cs="宋体"/>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2381" w:type="pct"/>
            <w:gridSpan w:val="2"/>
            <w:noWrap w:val="0"/>
            <w:vAlign w:val="center"/>
          </w:tcPr>
          <w:p>
            <w:pPr>
              <w:widowControl/>
              <w:spacing w:line="240" w:lineRule="exact"/>
              <w:jc w:val="center"/>
              <w:rPr>
                <w:rFonts w:hint="eastAsia" w:ascii="宋体" w:hAnsi="宋体" w:eastAsia="宋体" w:cs="宋体"/>
                <w:kern w:val="0"/>
                <w:sz w:val="22"/>
                <w:highlight w:val="none"/>
                <w:lang w:val="en-US" w:eastAsia="zh-CN"/>
              </w:rPr>
            </w:pPr>
            <w:r>
              <w:rPr>
                <w:rFonts w:hint="eastAsia" w:ascii="宋体" w:hAnsi="宋体" w:eastAsia="宋体" w:cs="宋体"/>
                <w:kern w:val="0"/>
                <w:sz w:val="22"/>
                <w:highlight w:val="none"/>
                <w:lang w:val="en-US" w:eastAsia="zh-CN"/>
              </w:rPr>
              <w:t>谈判总价</w:t>
            </w:r>
          </w:p>
        </w:tc>
        <w:tc>
          <w:tcPr>
            <w:tcW w:w="2618" w:type="pct"/>
            <w:noWrap w:val="0"/>
            <w:vAlign w:val="center"/>
          </w:tcPr>
          <w:p>
            <w:pPr>
              <w:widowControl/>
              <w:spacing w:line="24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佰  拾  万  仟  佰  拾  元  角  分</w:t>
            </w:r>
          </w:p>
        </w:tc>
      </w:tr>
    </w:tbl>
    <w:p>
      <w:pPr>
        <w:pStyle w:val="12"/>
        <w:ind w:firstLine="220"/>
        <w:rPr>
          <w:rFonts w:hint="eastAsia" w:ascii="宋体" w:hAnsi="宋体" w:eastAsia="宋体" w:cs="宋体"/>
          <w:color w:val="000000" w:themeColor="text1"/>
          <w:sz w:val="22"/>
          <w:szCs w:val="22"/>
          <w:highlight w:val="none"/>
          <w14:textFill>
            <w14:solidFill>
              <w14:schemeClr w14:val="tx1"/>
            </w14:solidFill>
          </w14:textFill>
        </w:rPr>
      </w:pPr>
    </w:p>
    <w:p>
      <w:pPr>
        <w:spacing w:line="360" w:lineRule="exact"/>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说明：</w:t>
      </w:r>
    </w:p>
    <w:p>
      <w:pPr>
        <w:spacing w:line="360" w:lineRule="exact"/>
        <w:rPr>
          <w:rFonts w:hint="eastAsia" w:ascii="宋体" w:hAnsi="宋体" w:eastAsia="宋体" w:cs="宋体"/>
          <w:b/>
          <w:color w:val="000000"/>
          <w:sz w:val="22"/>
          <w:szCs w:val="22"/>
          <w:highlight w:val="none"/>
        </w:rPr>
      </w:pPr>
      <w:r>
        <w:rPr>
          <w:rFonts w:hint="eastAsia" w:ascii="宋体" w:hAnsi="宋体" w:eastAsia="宋体" w:cs="宋体"/>
          <w:b/>
          <w:color w:val="000000"/>
          <w:sz w:val="22"/>
          <w:szCs w:val="22"/>
          <w:highlight w:val="none"/>
        </w:rPr>
        <w:t>1、此表内谈判总价应与附件二中“谈判报价一览表”谈判报价相一致。</w:t>
      </w:r>
    </w:p>
    <w:p>
      <w:pPr>
        <w:spacing w:line="360" w:lineRule="exact"/>
        <w:rPr>
          <w:rFonts w:hint="eastAsia" w:ascii="宋体" w:hAnsi="宋体" w:eastAsia="宋体" w:cs="宋体"/>
          <w:b/>
          <w:color w:val="000000"/>
          <w:sz w:val="22"/>
          <w:szCs w:val="22"/>
          <w:highlight w:val="none"/>
        </w:rPr>
      </w:pPr>
      <w:r>
        <w:rPr>
          <w:rFonts w:hint="eastAsia" w:ascii="宋体" w:hAnsi="宋体" w:eastAsia="宋体" w:cs="宋体"/>
          <w:b/>
          <w:color w:val="000000"/>
          <w:sz w:val="22"/>
          <w:szCs w:val="22"/>
          <w:highlight w:val="none"/>
        </w:rPr>
        <w:t>2、</w:t>
      </w:r>
      <w:r>
        <w:rPr>
          <w:rFonts w:hint="eastAsia" w:ascii="宋体" w:hAnsi="宋体" w:eastAsia="宋体" w:cs="宋体"/>
          <w:b/>
          <w:bCs/>
          <w:color w:val="000000"/>
          <w:sz w:val="22"/>
          <w:szCs w:val="22"/>
          <w:highlight w:val="none"/>
        </w:rPr>
        <w:t>▲</w:t>
      </w:r>
      <w:r>
        <w:rPr>
          <w:rFonts w:hint="eastAsia" w:ascii="宋体" w:hAnsi="宋体" w:eastAsia="宋体" w:cs="宋体"/>
          <w:b/>
          <w:color w:val="000000"/>
          <w:sz w:val="22"/>
          <w:szCs w:val="22"/>
          <w:highlight w:val="none"/>
          <w:u w:val="single"/>
        </w:rPr>
        <w:t>不提供“分项报价表”的</w:t>
      </w:r>
      <w:r>
        <w:rPr>
          <w:rFonts w:hint="eastAsia" w:ascii="宋体" w:hAnsi="宋体" w:eastAsia="宋体" w:cs="宋体"/>
          <w:b/>
          <w:color w:val="000000"/>
          <w:sz w:val="22"/>
          <w:szCs w:val="22"/>
          <w:highlight w:val="none"/>
          <w:u w:val="single"/>
          <w:lang w:val="en-GB"/>
        </w:rPr>
        <w:t>谈判总价</w:t>
      </w:r>
      <w:r>
        <w:rPr>
          <w:rFonts w:hint="eastAsia" w:ascii="宋体" w:hAnsi="宋体" w:eastAsia="宋体" w:cs="宋体"/>
          <w:b/>
          <w:color w:val="000000"/>
          <w:sz w:val="22"/>
          <w:szCs w:val="22"/>
          <w:highlight w:val="none"/>
          <w:u w:val="single"/>
        </w:rPr>
        <w:t>，视为没有实质性响应单一来源采购文件要求。</w:t>
      </w:r>
    </w:p>
    <w:p>
      <w:pPr>
        <w:spacing w:line="44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3.如果免费请在该备注栏内注明“免”，如果含在产品价格中则填“含”，如无此项内容则填“无”，不留空白</w:t>
      </w:r>
      <w:r>
        <w:rPr>
          <w:rFonts w:hint="eastAsia" w:ascii="宋体" w:hAnsi="宋体" w:eastAsia="宋体" w:cs="宋体"/>
          <w:color w:val="000000" w:themeColor="text1"/>
          <w:sz w:val="22"/>
          <w:szCs w:val="22"/>
          <w:highlight w:val="none"/>
          <w14:textFill>
            <w14:solidFill>
              <w14:schemeClr w14:val="tx1"/>
            </w14:solidFill>
          </w14:textFill>
        </w:rPr>
        <w:t>。</w:t>
      </w:r>
    </w:p>
    <w:p>
      <w:pPr>
        <w:pStyle w:val="12"/>
        <w:ind w:firstLine="0" w:firstLineChars="0"/>
        <w:rPr>
          <w:rFonts w:hint="eastAsia" w:ascii="宋体" w:hAnsi="宋体" w:eastAsia="宋体" w:cs="宋体"/>
          <w:color w:val="000000" w:themeColor="text1"/>
          <w:highlight w:val="none"/>
          <w14:textFill>
            <w14:solidFill>
              <w14:schemeClr w14:val="tx1"/>
            </w14:solidFill>
          </w14:textFill>
        </w:rPr>
      </w:pP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pPr>
        <w:spacing w:line="38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p>
    <w:p>
      <w:pPr>
        <w:spacing w:line="380" w:lineRule="exact"/>
        <w:ind w:left="2722" w:leftChars="1028" w:hanging="563" w:hangingChars="256"/>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供应商全称（盖章）：</w:t>
      </w:r>
    </w:p>
    <w:p>
      <w:pPr>
        <w:spacing w:line="380" w:lineRule="exact"/>
        <w:ind w:left="2722" w:leftChars="1028" w:hanging="563" w:hangingChars="256"/>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法定代表人或授权代表（签字或盖章）           ： </w:t>
      </w:r>
    </w:p>
    <w:p>
      <w:pPr>
        <w:spacing w:line="380" w:lineRule="exact"/>
        <w:ind w:left="2722" w:leftChars="1028" w:hanging="563" w:hangingChars="256"/>
        <w:jc w:val="left"/>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日期： </w:t>
      </w:r>
    </w:p>
    <w:p>
      <w:pPr>
        <w:spacing w:line="380" w:lineRule="exact"/>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br w:type="page"/>
      </w:r>
      <w:r>
        <w:rPr>
          <w:rFonts w:hint="eastAsia" w:ascii="宋体" w:hAnsi="宋体" w:eastAsia="宋体" w:cs="宋体"/>
          <w:b/>
          <w:bCs/>
          <w:color w:val="000000" w:themeColor="text1"/>
          <w:sz w:val="22"/>
          <w:szCs w:val="22"/>
          <w:highlight w:val="none"/>
          <w14:textFill>
            <w14:solidFill>
              <w14:schemeClr w14:val="tx1"/>
            </w14:solidFill>
          </w14:textFill>
        </w:rPr>
        <w:t>附件四</w:t>
      </w:r>
    </w:p>
    <w:p>
      <w:pPr>
        <w:spacing w:line="460" w:lineRule="exact"/>
        <w:ind w:firstLine="437"/>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技术规格、商务条款偏离表</w:t>
      </w:r>
    </w:p>
    <w:p>
      <w:pPr>
        <w:spacing w:line="380" w:lineRule="exact"/>
        <w:rPr>
          <w:rFonts w:hint="eastAsia" w:ascii="宋体" w:hAnsi="宋体" w:eastAsia="宋体" w:cs="宋体"/>
          <w:b/>
          <w:bCs/>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项目名称：                                      </w:t>
      </w:r>
      <w:r>
        <w:rPr>
          <w:rFonts w:hint="eastAsia" w:ascii="宋体" w:hAnsi="宋体" w:eastAsia="宋体" w:cs="宋体"/>
          <w:color w:val="000000" w:themeColor="text1"/>
          <w:sz w:val="22"/>
          <w:szCs w:val="22"/>
          <w:highlight w:val="none"/>
          <w:lang w:eastAsia="zh-CN"/>
          <w14:textFill>
            <w14:solidFill>
              <w14:schemeClr w14:val="tx1"/>
            </w14:solidFill>
          </w14:textFill>
        </w:rPr>
        <w:t>项目编号</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1364"/>
        <w:gridCol w:w="2097"/>
        <w:gridCol w:w="1992"/>
        <w:gridCol w:w="1866"/>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943" w:type="dxa"/>
          </w:tcPr>
          <w:p>
            <w:pPr>
              <w:spacing w:line="380" w:lineRule="exact"/>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1364" w:type="dxa"/>
            <w:vAlign w:val="center"/>
          </w:tcPr>
          <w:p>
            <w:pPr>
              <w:spacing w:line="380" w:lineRule="exact"/>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序号</w:t>
            </w:r>
          </w:p>
        </w:tc>
        <w:tc>
          <w:tcPr>
            <w:tcW w:w="2097" w:type="dxa"/>
            <w:vAlign w:val="center"/>
          </w:tcPr>
          <w:p>
            <w:pPr>
              <w:spacing w:line="380" w:lineRule="exact"/>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单一来源响应文件</w:t>
            </w:r>
          </w:p>
          <w:p>
            <w:pPr>
              <w:spacing w:line="380" w:lineRule="exact"/>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条目号</w:t>
            </w:r>
          </w:p>
        </w:tc>
        <w:tc>
          <w:tcPr>
            <w:tcW w:w="1992" w:type="dxa"/>
            <w:vAlign w:val="center"/>
          </w:tcPr>
          <w:p>
            <w:pPr>
              <w:spacing w:line="380" w:lineRule="exact"/>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单一来源响应文件</w:t>
            </w:r>
          </w:p>
          <w:p>
            <w:pPr>
              <w:spacing w:line="380" w:lineRule="exact"/>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规范要求</w:t>
            </w:r>
          </w:p>
        </w:tc>
        <w:tc>
          <w:tcPr>
            <w:tcW w:w="1866" w:type="dxa"/>
            <w:vAlign w:val="center"/>
          </w:tcPr>
          <w:p>
            <w:pPr>
              <w:spacing w:line="380" w:lineRule="exact"/>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单一来源响应文件对应规范</w:t>
            </w:r>
          </w:p>
        </w:tc>
        <w:tc>
          <w:tcPr>
            <w:tcW w:w="1592" w:type="dxa"/>
            <w:vAlign w:val="center"/>
          </w:tcPr>
          <w:p>
            <w:pPr>
              <w:spacing w:line="380" w:lineRule="exact"/>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943" w:type="dxa"/>
            <w:vMerge w:val="restart"/>
            <w:vAlign w:val="center"/>
          </w:tcPr>
          <w:p>
            <w:pPr>
              <w:spacing w:line="380" w:lineRule="exact"/>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技</w:t>
            </w:r>
          </w:p>
          <w:p>
            <w:pPr>
              <w:spacing w:line="380" w:lineRule="exact"/>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术</w:t>
            </w:r>
          </w:p>
          <w:p>
            <w:pPr>
              <w:spacing w:line="380" w:lineRule="exact"/>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规</w:t>
            </w:r>
          </w:p>
          <w:p>
            <w:pPr>
              <w:spacing w:line="380" w:lineRule="exact"/>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格</w:t>
            </w:r>
          </w:p>
        </w:tc>
        <w:tc>
          <w:tcPr>
            <w:tcW w:w="1364" w:type="dxa"/>
            <w:vAlign w:val="center"/>
          </w:tcPr>
          <w:p>
            <w:pPr>
              <w:spacing w:line="380" w:lineRule="exact"/>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2097" w:type="dxa"/>
            <w:vAlign w:val="center"/>
          </w:tcPr>
          <w:p>
            <w:pPr>
              <w:spacing w:line="380" w:lineRule="exact"/>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1992" w:type="dxa"/>
            <w:vAlign w:val="center"/>
          </w:tcPr>
          <w:p>
            <w:pPr>
              <w:spacing w:line="380" w:lineRule="exact"/>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1866" w:type="dxa"/>
            <w:vAlign w:val="center"/>
          </w:tcPr>
          <w:p>
            <w:pPr>
              <w:spacing w:line="380" w:lineRule="exact"/>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1592" w:type="dxa"/>
            <w:vAlign w:val="center"/>
          </w:tcPr>
          <w:p>
            <w:pPr>
              <w:spacing w:line="380" w:lineRule="exact"/>
              <w:jc w:val="center"/>
              <w:rPr>
                <w:rFonts w:hint="eastAsia" w:ascii="宋体" w:hAnsi="宋体" w:eastAsia="宋体" w:cs="宋体"/>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tcPr>
          <w:p>
            <w:pPr>
              <w:spacing w:line="380" w:lineRule="exact"/>
              <w:ind w:firstLine="220" w:firstLineChars="100"/>
              <w:rPr>
                <w:rFonts w:hint="eastAsia" w:ascii="宋体" w:hAnsi="宋体" w:eastAsia="宋体" w:cs="宋体"/>
                <w:color w:val="000000" w:themeColor="text1"/>
                <w:sz w:val="22"/>
                <w:szCs w:val="22"/>
                <w:highlight w:val="none"/>
                <w14:textFill>
                  <w14:solidFill>
                    <w14:schemeClr w14:val="tx1"/>
                  </w14:solidFill>
                </w14:textFill>
              </w:rPr>
            </w:pPr>
          </w:p>
        </w:tc>
        <w:tc>
          <w:tcPr>
            <w:tcW w:w="1364" w:type="dxa"/>
            <w:vAlign w:val="center"/>
          </w:tcPr>
          <w:p>
            <w:pPr>
              <w:spacing w:line="380" w:lineRule="exact"/>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2097" w:type="dxa"/>
            <w:vAlign w:val="center"/>
          </w:tcPr>
          <w:p>
            <w:pPr>
              <w:spacing w:line="380" w:lineRule="exact"/>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1992" w:type="dxa"/>
            <w:vAlign w:val="center"/>
          </w:tcPr>
          <w:p>
            <w:pPr>
              <w:spacing w:line="380" w:lineRule="exact"/>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1866" w:type="dxa"/>
            <w:vAlign w:val="center"/>
          </w:tcPr>
          <w:p>
            <w:pPr>
              <w:spacing w:line="380" w:lineRule="exact"/>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1592" w:type="dxa"/>
            <w:vAlign w:val="center"/>
          </w:tcPr>
          <w:p>
            <w:pPr>
              <w:spacing w:line="380" w:lineRule="exact"/>
              <w:jc w:val="center"/>
              <w:rPr>
                <w:rFonts w:hint="eastAsia" w:ascii="宋体" w:hAnsi="宋体" w:eastAsia="宋体" w:cs="宋体"/>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tcPr>
          <w:p>
            <w:pPr>
              <w:spacing w:line="380" w:lineRule="exact"/>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1364" w:type="dxa"/>
            <w:vAlign w:val="center"/>
          </w:tcPr>
          <w:p>
            <w:pPr>
              <w:spacing w:line="380" w:lineRule="exact"/>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2097" w:type="dxa"/>
            <w:vAlign w:val="center"/>
          </w:tcPr>
          <w:p>
            <w:pPr>
              <w:spacing w:line="380" w:lineRule="exact"/>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1992" w:type="dxa"/>
            <w:vAlign w:val="center"/>
          </w:tcPr>
          <w:p>
            <w:pPr>
              <w:spacing w:line="380" w:lineRule="exact"/>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1866" w:type="dxa"/>
            <w:vAlign w:val="center"/>
          </w:tcPr>
          <w:p>
            <w:pPr>
              <w:spacing w:line="380" w:lineRule="exact"/>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1592" w:type="dxa"/>
            <w:vAlign w:val="center"/>
          </w:tcPr>
          <w:p>
            <w:pPr>
              <w:spacing w:line="380" w:lineRule="exact"/>
              <w:jc w:val="center"/>
              <w:rPr>
                <w:rFonts w:hint="eastAsia" w:ascii="宋体" w:hAnsi="宋体" w:eastAsia="宋体" w:cs="宋体"/>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tcPr>
          <w:p>
            <w:pPr>
              <w:spacing w:line="380" w:lineRule="exact"/>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1364" w:type="dxa"/>
            <w:vAlign w:val="center"/>
          </w:tcPr>
          <w:p>
            <w:pPr>
              <w:spacing w:line="380" w:lineRule="exact"/>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2097" w:type="dxa"/>
            <w:vAlign w:val="center"/>
          </w:tcPr>
          <w:p>
            <w:pPr>
              <w:spacing w:line="380" w:lineRule="exact"/>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1992" w:type="dxa"/>
            <w:vAlign w:val="center"/>
          </w:tcPr>
          <w:p>
            <w:pPr>
              <w:spacing w:line="380" w:lineRule="exact"/>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1866" w:type="dxa"/>
            <w:vAlign w:val="center"/>
          </w:tcPr>
          <w:p>
            <w:pPr>
              <w:spacing w:line="380" w:lineRule="exact"/>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1592" w:type="dxa"/>
            <w:vAlign w:val="center"/>
          </w:tcPr>
          <w:p>
            <w:pPr>
              <w:spacing w:line="380" w:lineRule="exact"/>
              <w:jc w:val="center"/>
              <w:rPr>
                <w:rFonts w:hint="eastAsia" w:ascii="宋体" w:hAnsi="宋体" w:eastAsia="宋体" w:cs="宋体"/>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tcPr>
          <w:p>
            <w:pPr>
              <w:spacing w:line="380" w:lineRule="exact"/>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1364" w:type="dxa"/>
            <w:vAlign w:val="center"/>
          </w:tcPr>
          <w:p>
            <w:pPr>
              <w:spacing w:line="380" w:lineRule="exact"/>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2097" w:type="dxa"/>
            <w:vAlign w:val="center"/>
          </w:tcPr>
          <w:p>
            <w:pPr>
              <w:spacing w:line="380" w:lineRule="exact"/>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1992" w:type="dxa"/>
            <w:vAlign w:val="center"/>
          </w:tcPr>
          <w:p>
            <w:pPr>
              <w:spacing w:line="380" w:lineRule="exact"/>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1866" w:type="dxa"/>
            <w:vAlign w:val="center"/>
          </w:tcPr>
          <w:p>
            <w:pPr>
              <w:spacing w:line="380" w:lineRule="exact"/>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1592" w:type="dxa"/>
            <w:vAlign w:val="center"/>
          </w:tcPr>
          <w:p>
            <w:pPr>
              <w:spacing w:line="380" w:lineRule="exact"/>
              <w:jc w:val="center"/>
              <w:rPr>
                <w:rFonts w:hint="eastAsia" w:ascii="宋体" w:hAnsi="宋体" w:eastAsia="宋体" w:cs="宋体"/>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943" w:type="dxa"/>
            <w:vMerge w:val="restart"/>
            <w:vAlign w:val="center"/>
          </w:tcPr>
          <w:p>
            <w:pPr>
              <w:spacing w:line="380" w:lineRule="exact"/>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商</w:t>
            </w:r>
          </w:p>
          <w:p>
            <w:pPr>
              <w:spacing w:line="380" w:lineRule="exact"/>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务</w:t>
            </w:r>
          </w:p>
          <w:p>
            <w:pPr>
              <w:spacing w:line="380" w:lineRule="exact"/>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条</w:t>
            </w:r>
          </w:p>
          <w:p>
            <w:pPr>
              <w:spacing w:line="380" w:lineRule="exact"/>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款</w:t>
            </w:r>
          </w:p>
        </w:tc>
        <w:tc>
          <w:tcPr>
            <w:tcW w:w="1364" w:type="dxa"/>
            <w:vAlign w:val="center"/>
          </w:tcPr>
          <w:p>
            <w:pPr>
              <w:spacing w:line="380" w:lineRule="exact"/>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2097" w:type="dxa"/>
            <w:vAlign w:val="center"/>
          </w:tcPr>
          <w:p>
            <w:pPr>
              <w:spacing w:line="380" w:lineRule="exact"/>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1992" w:type="dxa"/>
            <w:vAlign w:val="center"/>
          </w:tcPr>
          <w:p>
            <w:pPr>
              <w:spacing w:line="380" w:lineRule="exact"/>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1866" w:type="dxa"/>
            <w:vAlign w:val="center"/>
          </w:tcPr>
          <w:p>
            <w:pPr>
              <w:spacing w:line="380" w:lineRule="exact"/>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1592" w:type="dxa"/>
            <w:vAlign w:val="center"/>
          </w:tcPr>
          <w:p>
            <w:pPr>
              <w:spacing w:line="380" w:lineRule="exact"/>
              <w:jc w:val="center"/>
              <w:rPr>
                <w:rFonts w:hint="eastAsia" w:ascii="宋体" w:hAnsi="宋体" w:eastAsia="宋体" w:cs="宋体"/>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tcPr>
          <w:p>
            <w:pPr>
              <w:spacing w:line="380" w:lineRule="exact"/>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1364" w:type="dxa"/>
            <w:vAlign w:val="center"/>
          </w:tcPr>
          <w:p>
            <w:pPr>
              <w:spacing w:line="380" w:lineRule="exact"/>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2097" w:type="dxa"/>
            <w:vAlign w:val="center"/>
          </w:tcPr>
          <w:p>
            <w:pPr>
              <w:spacing w:line="380" w:lineRule="exact"/>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1992" w:type="dxa"/>
            <w:vAlign w:val="center"/>
          </w:tcPr>
          <w:p>
            <w:pPr>
              <w:spacing w:line="380" w:lineRule="exact"/>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1866" w:type="dxa"/>
            <w:vAlign w:val="center"/>
          </w:tcPr>
          <w:p>
            <w:pPr>
              <w:spacing w:line="380" w:lineRule="exact"/>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1592" w:type="dxa"/>
            <w:vAlign w:val="center"/>
          </w:tcPr>
          <w:p>
            <w:pPr>
              <w:spacing w:line="380" w:lineRule="exact"/>
              <w:jc w:val="center"/>
              <w:rPr>
                <w:rFonts w:hint="eastAsia" w:ascii="宋体" w:hAnsi="宋体" w:eastAsia="宋体" w:cs="宋体"/>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tcPr>
          <w:p>
            <w:pPr>
              <w:spacing w:line="380" w:lineRule="exact"/>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1364" w:type="dxa"/>
            <w:vAlign w:val="center"/>
          </w:tcPr>
          <w:p>
            <w:pPr>
              <w:spacing w:line="380" w:lineRule="exact"/>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2097" w:type="dxa"/>
            <w:vAlign w:val="center"/>
          </w:tcPr>
          <w:p>
            <w:pPr>
              <w:spacing w:line="380" w:lineRule="exact"/>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1992" w:type="dxa"/>
            <w:vAlign w:val="center"/>
          </w:tcPr>
          <w:p>
            <w:pPr>
              <w:spacing w:line="380" w:lineRule="exact"/>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1866" w:type="dxa"/>
            <w:vAlign w:val="center"/>
          </w:tcPr>
          <w:p>
            <w:pPr>
              <w:spacing w:line="380" w:lineRule="exact"/>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1592" w:type="dxa"/>
            <w:vAlign w:val="center"/>
          </w:tcPr>
          <w:p>
            <w:pPr>
              <w:spacing w:line="380" w:lineRule="exact"/>
              <w:jc w:val="center"/>
              <w:rPr>
                <w:rFonts w:hint="eastAsia" w:ascii="宋体" w:hAnsi="宋体" w:eastAsia="宋体" w:cs="宋体"/>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tcPr>
          <w:p>
            <w:pPr>
              <w:spacing w:line="380" w:lineRule="exact"/>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1364" w:type="dxa"/>
            <w:vAlign w:val="center"/>
          </w:tcPr>
          <w:p>
            <w:pPr>
              <w:spacing w:line="380" w:lineRule="exact"/>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2097" w:type="dxa"/>
            <w:vAlign w:val="center"/>
          </w:tcPr>
          <w:p>
            <w:pPr>
              <w:spacing w:line="380" w:lineRule="exact"/>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1992" w:type="dxa"/>
            <w:vAlign w:val="center"/>
          </w:tcPr>
          <w:p>
            <w:pPr>
              <w:spacing w:line="380" w:lineRule="exact"/>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1866" w:type="dxa"/>
            <w:vAlign w:val="center"/>
          </w:tcPr>
          <w:p>
            <w:pPr>
              <w:spacing w:line="380" w:lineRule="exact"/>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1592" w:type="dxa"/>
            <w:vAlign w:val="center"/>
          </w:tcPr>
          <w:p>
            <w:pPr>
              <w:spacing w:line="380" w:lineRule="exact"/>
              <w:jc w:val="center"/>
              <w:rPr>
                <w:rFonts w:hint="eastAsia" w:ascii="宋体" w:hAnsi="宋体" w:eastAsia="宋体" w:cs="宋体"/>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tcPr>
          <w:p>
            <w:pPr>
              <w:spacing w:line="380" w:lineRule="exact"/>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1364" w:type="dxa"/>
            <w:vAlign w:val="center"/>
          </w:tcPr>
          <w:p>
            <w:pPr>
              <w:spacing w:line="380" w:lineRule="exact"/>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2097" w:type="dxa"/>
            <w:vAlign w:val="center"/>
          </w:tcPr>
          <w:p>
            <w:pPr>
              <w:spacing w:line="380" w:lineRule="exact"/>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1992" w:type="dxa"/>
            <w:vAlign w:val="center"/>
          </w:tcPr>
          <w:p>
            <w:pPr>
              <w:spacing w:line="380" w:lineRule="exact"/>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1866" w:type="dxa"/>
            <w:vAlign w:val="center"/>
          </w:tcPr>
          <w:p>
            <w:pPr>
              <w:spacing w:line="380" w:lineRule="exact"/>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1592" w:type="dxa"/>
            <w:vAlign w:val="center"/>
          </w:tcPr>
          <w:p>
            <w:pPr>
              <w:spacing w:line="380" w:lineRule="exact"/>
              <w:jc w:val="center"/>
              <w:rPr>
                <w:rFonts w:hint="eastAsia" w:ascii="宋体" w:hAnsi="宋体" w:eastAsia="宋体" w:cs="宋体"/>
                <w:color w:val="000000" w:themeColor="text1"/>
                <w:sz w:val="22"/>
                <w:szCs w:val="22"/>
                <w:highlight w:val="none"/>
                <w14:textFill>
                  <w14:solidFill>
                    <w14:schemeClr w14:val="tx1"/>
                  </w14:solidFill>
                </w14:textFill>
              </w:rPr>
            </w:pPr>
          </w:p>
        </w:tc>
      </w:tr>
    </w:tbl>
    <w:p>
      <w:pPr>
        <w:spacing w:line="380" w:lineRule="exact"/>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注：</w:t>
      </w:r>
      <w:r>
        <w:rPr>
          <w:rFonts w:hint="eastAsia" w:ascii="宋体" w:hAnsi="宋体" w:eastAsia="宋体" w:cs="宋体"/>
          <w:b/>
          <w:color w:val="000000" w:themeColor="text1"/>
          <w:highlight w:val="none"/>
          <w14:textFill>
            <w14:solidFill>
              <w14:schemeClr w14:val="tx1"/>
            </w14:solidFill>
          </w14:textFill>
        </w:rPr>
        <w:t>不填写此表视为完全响应采购文件内容。</w:t>
      </w:r>
    </w:p>
    <w:p>
      <w:pPr>
        <w:spacing w:line="380" w:lineRule="exact"/>
        <w:ind w:firstLine="4417" w:firstLineChars="2000"/>
        <w:rPr>
          <w:rFonts w:hint="eastAsia" w:ascii="宋体" w:hAnsi="宋体" w:eastAsia="宋体" w:cs="宋体"/>
          <w:b/>
          <w:color w:val="000000" w:themeColor="text1"/>
          <w:sz w:val="22"/>
          <w:szCs w:val="22"/>
          <w:highlight w:val="none"/>
          <w14:textFill>
            <w14:solidFill>
              <w14:schemeClr w14:val="tx1"/>
            </w14:solidFill>
          </w14:textFill>
        </w:rPr>
      </w:pPr>
    </w:p>
    <w:p>
      <w:pPr>
        <w:spacing w:line="380" w:lineRule="exact"/>
        <w:ind w:firstLine="4400" w:firstLineChars="20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供应商全称（盖章）：</w:t>
      </w:r>
    </w:p>
    <w:p>
      <w:pPr>
        <w:spacing w:line="380" w:lineRule="exact"/>
        <w:ind w:firstLine="4400" w:firstLineChars="20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法定代表人或授权代表（签字或盖章）：</w:t>
      </w:r>
    </w:p>
    <w:p>
      <w:pPr>
        <w:spacing w:line="380" w:lineRule="exact"/>
        <w:ind w:firstLine="4400" w:firstLineChars="20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日期：  年   月  日</w:t>
      </w:r>
    </w:p>
    <w:p>
      <w:pPr>
        <w:spacing w:line="380" w:lineRule="exact"/>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br w:type="page"/>
      </w:r>
      <w:r>
        <w:rPr>
          <w:rFonts w:hint="eastAsia" w:ascii="宋体" w:hAnsi="宋体" w:eastAsia="宋体" w:cs="宋体"/>
          <w:b/>
          <w:bCs/>
          <w:color w:val="000000" w:themeColor="text1"/>
          <w:sz w:val="22"/>
          <w:szCs w:val="22"/>
          <w:highlight w:val="none"/>
          <w14:textFill>
            <w14:solidFill>
              <w14:schemeClr w14:val="tx1"/>
            </w14:solidFill>
          </w14:textFill>
        </w:rPr>
        <w:t>附件五</w:t>
      </w:r>
    </w:p>
    <w:p>
      <w:pPr>
        <w:spacing w:line="46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资格证明文件</w:t>
      </w:r>
    </w:p>
    <w:p>
      <w:pPr>
        <w:spacing w:line="380" w:lineRule="exact"/>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（1）-1法定代表人声明书</w:t>
      </w:r>
    </w:p>
    <w:p>
      <w:pPr>
        <w:spacing w:line="400" w:lineRule="exact"/>
        <w:rPr>
          <w:rFonts w:hint="eastAsia" w:ascii="宋体" w:hAnsi="宋体" w:eastAsia="宋体" w:cs="宋体"/>
          <w:sz w:val="22"/>
          <w:szCs w:val="22"/>
          <w:highlight w:val="none"/>
        </w:rPr>
      </w:pPr>
    </w:p>
    <w:p>
      <w:pPr>
        <w:spacing w:line="420" w:lineRule="exact"/>
        <w:rPr>
          <w:rFonts w:hint="eastAsia" w:ascii="宋体" w:hAnsi="宋体" w:eastAsia="宋体" w:cs="宋体"/>
          <w:sz w:val="22"/>
          <w:szCs w:val="22"/>
          <w:highlight w:val="none"/>
        </w:rPr>
      </w:pPr>
      <w:r>
        <w:rPr>
          <w:rFonts w:hint="eastAsia" w:ascii="宋体" w:hAnsi="宋体" w:eastAsia="宋体" w:cs="宋体"/>
          <w:sz w:val="22"/>
          <w:szCs w:val="22"/>
          <w:highlight w:val="none"/>
          <w:lang w:eastAsia="zh-CN"/>
        </w:rPr>
        <w:t>浙江东方职业技术学院</w:t>
      </w:r>
      <w:r>
        <w:rPr>
          <w:rFonts w:hint="eastAsia" w:ascii="宋体" w:hAnsi="宋体" w:eastAsia="宋体" w:cs="宋体"/>
          <w:sz w:val="22"/>
          <w:szCs w:val="22"/>
          <w:highlight w:val="none"/>
        </w:rPr>
        <w:t>：</w:t>
      </w:r>
    </w:p>
    <w:p>
      <w:pPr>
        <w:spacing w:line="42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浙江创嘉项目管理有限公司：</w:t>
      </w:r>
    </w:p>
    <w:p>
      <w:pPr>
        <w:spacing w:line="460" w:lineRule="exact"/>
        <w:rPr>
          <w:rFonts w:hint="eastAsia" w:ascii="宋体" w:hAnsi="宋体" w:eastAsia="宋体" w:cs="宋体"/>
          <w:sz w:val="22"/>
          <w:szCs w:val="22"/>
          <w:highlight w:val="none"/>
          <w:u w:val="single"/>
        </w:rPr>
      </w:pPr>
    </w:p>
    <w:p>
      <w:pPr>
        <w:spacing w:line="460" w:lineRule="exact"/>
        <w:ind w:firstLine="220" w:firstLineChars="100"/>
        <w:rPr>
          <w:rFonts w:hint="eastAsia" w:ascii="宋体" w:hAnsi="宋体" w:eastAsia="宋体" w:cs="宋体"/>
          <w:sz w:val="22"/>
          <w:szCs w:val="22"/>
          <w:highlight w:val="none"/>
        </w:rPr>
      </w:pPr>
      <w:r>
        <w:rPr>
          <w:rFonts w:hint="eastAsia" w:ascii="宋体" w:hAnsi="宋体" w:eastAsia="宋体" w:cs="宋体"/>
          <w:sz w:val="22"/>
          <w:szCs w:val="22"/>
          <w:highlight w:val="none"/>
        </w:rPr>
        <w:t>本人</w:t>
      </w:r>
      <w:r>
        <w:rPr>
          <w:rFonts w:hint="eastAsia" w:ascii="宋体" w:hAnsi="宋体" w:eastAsia="宋体" w:cs="宋体"/>
          <w:sz w:val="22"/>
          <w:szCs w:val="22"/>
          <w:highlight w:val="none"/>
          <w:u w:val="single"/>
        </w:rPr>
        <w:t>（法定代表人姓名）</w:t>
      </w:r>
      <w:r>
        <w:rPr>
          <w:rFonts w:hint="eastAsia" w:ascii="宋体" w:hAnsi="宋体" w:eastAsia="宋体" w:cs="宋体"/>
          <w:sz w:val="22"/>
          <w:szCs w:val="22"/>
          <w:highlight w:val="none"/>
        </w:rPr>
        <w:t>为</w:t>
      </w:r>
      <w:r>
        <w:rPr>
          <w:rFonts w:hint="eastAsia" w:ascii="宋体" w:hAnsi="宋体" w:eastAsia="宋体" w:cs="宋体"/>
          <w:sz w:val="22"/>
          <w:szCs w:val="22"/>
          <w:highlight w:val="none"/>
          <w:u w:val="single"/>
        </w:rPr>
        <w:t>（供应商全称）</w:t>
      </w:r>
      <w:r>
        <w:rPr>
          <w:rFonts w:hint="eastAsia" w:ascii="宋体" w:hAnsi="宋体" w:eastAsia="宋体" w:cs="宋体"/>
          <w:sz w:val="22"/>
          <w:szCs w:val="22"/>
          <w:highlight w:val="none"/>
        </w:rPr>
        <w:t>的法定代表人。我公司参加贵单位组织的</w:t>
      </w:r>
      <w:r>
        <w:rPr>
          <w:rFonts w:hint="eastAsia" w:ascii="宋体" w:hAnsi="宋体" w:eastAsia="宋体" w:cs="宋体"/>
          <w:sz w:val="22"/>
          <w:szCs w:val="22"/>
          <w:highlight w:val="none"/>
          <w:u w:val="single"/>
        </w:rPr>
        <w:t>（</w:t>
      </w:r>
      <w:r>
        <w:rPr>
          <w:rFonts w:hint="eastAsia" w:ascii="宋体" w:hAnsi="宋体" w:eastAsia="宋体" w:cs="宋体"/>
          <w:sz w:val="22"/>
          <w:szCs w:val="22"/>
          <w:highlight w:val="none"/>
          <w:u w:val="single"/>
          <w:lang w:eastAsia="zh-CN"/>
        </w:rPr>
        <w:t>项目名称</w:t>
      </w:r>
      <w:r>
        <w:rPr>
          <w:rFonts w:hint="eastAsia" w:ascii="宋体" w:hAnsi="宋体" w:eastAsia="宋体" w:cs="宋体"/>
          <w:sz w:val="22"/>
          <w:szCs w:val="22"/>
          <w:highlight w:val="none"/>
          <w:u w:val="single"/>
        </w:rPr>
        <w:t>、</w:t>
      </w:r>
      <w:r>
        <w:rPr>
          <w:rFonts w:hint="eastAsia" w:ascii="宋体" w:hAnsi="宋体" w:eastAsia="宋体" w:cs="宋体"/>
          <w:sz w:val="22"/>
          <w:szCs w:val="22"/>
          <w:highlight w:val="none"/>
          <w:u w:val="single"/>
          <w:lang w:eastAsia="zh-CN"/>
        </w:rPr>
        <w:t>项目编号</w:t>
      </w:r>
      <w:r>
        <w:rPr>
          <w:rFonts w:hint="eastAsia" w:ascii="宋体" w:hAnsi="宋体" w:eastAsia="宋体" w:cs="宋体"/>
          <w:sz w:val="22"/>
          <w:szCs w:val="22"/>
          <w:highlight w:val="none"/>
          <w:u w:val="single"/>
        </w:rPr>
        <w:t>）</w:t>
      </w:r>
      <w:r>
        <w:rPr>
          <w:rFonts w:hint="eastAsia" w:ascii="宋体" w:hAnsi="宋体" w:eastAsia="宋体" w:cs="宋体"/>
          <w:sz w:val="22"/>
          <w:szCs w:val="22"/>
          <w:highlight w:val="none"/>
        </w:rPr>
        <w:t>的采购活动，由我本人全权代表我方处理采购活动中的一切事宜。联系方式如下：</w:t>
      </w:r>
      <w:r>
        <w:rPr>
          <w:rFonts w:hint="eastAsia" w:ascii="宋体" w:hAnsi="宋体" w:eastAsia="宋体" w:cs="宋体"/>
          <w:sz w:val="22"/>
          <w:szCs w:val="22"/>
          <w:highlight w:val="none"/>
          <w:u w:val="single"/>
        </w:rPr>
        <w:t xml:space="preserve">手机号码：       联系邮箱:         详细通讯地址：             </w:t>
      </w:r>
      <w:r>
        <w:rPr>
          <w:rFonts w:hint="eastAsia" w:ascii="宋体" w:hAnsi="宋体" w:eastAsia="宋体" w:cs="宋体"/>
          <w:sz w:val="22"/>
          <w:szCs w:val="22"/>
          <w:highlight w:val="none"/>
        </w:rPr>
        <w:t xml:space="preserve"> 。  </w:t>
      </w:r>
    </w:p>
    <w:p>
      <w:pPr>
        <w:spacing w:line="400" w:lineRule="exact"/>
        <w:rPr>
          <w:rFonts w:hint="eastAsia" w:ascii="宋体" w:hAnsi="宋体" w:eastAsia="宋体" w:cs="宋体"/>
          <w:sz w:val="22"/>
          <w:szCs w:val="22"/>
          <w:highlight w:val="none"/>
        </w:rPr>
      </w:pPr>
    </w:p>
    <w:p>
      <w:pPr>
        <w:spacing w:line="400" w:lineRule="exact"/>
        <w:rPr>
          <w:rFonts w:hint="eastAsia" w:ascii="宋体" w:hAnsi="宋体" w:eastAsia="宋体" w:cs="宋体"/>
          <w:sz w:val="22"/>
          <w:szCs w:val="22"/>
          <w:highlight w:val="none"/>
        </w:rPr>
      </w:pPr>
    </w:p>
    <w:p>
      <w:pPr>
        <w:spacing w:line="400" w:lineRule="exact"/>
        <w:rPr>
          <w:rFonts w:hint="eastAsia" w:ascii="宋体" w:hAnsi="宋体" w:eastAsia="宋体" w:cs="宋体"/>
          <w:sz w:val="22"/>
          <w:szCs w:val="22"/>
          <w:highlight w:val="none"/>
        </w:rPr>
      </w:pPr>
    </w:p>
    <w:p>
      <w:pPr>
        <w:spacing w:line="460" w:lineRule="exact"/>
        <w:ind w:firstLine="3971" w:firstLineChars="1805"/>
        <w:rPr>
          <w:rFonts w:hint="eastAsia" w:ascii="宋体" w:hAnsi="宋体" w:eastAsia="宋体" w:cs="宋体"/>
          <w:sz w:val="22"/>
          <w:szCs w:val="22"/>
          <w:highlight w:val="none"/>
        </w:rPr>
      </w:pPr>
    </w:p>
    <w:p>
      <w:pPr>
        <w:spacing w:line="460" w:lineRule="exact"/>
        <w:ind w:firstLine="2955"/>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         供应商名称（盖章）：</w:t>
      </w:r>
    </w:p>
    <w:p>
      <w:pPr>
        <w:spacing w:line="460" w:lineRule="exact"/>
        <w:ind w:firstLine="2955"/>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         日期：     年    月   日</w:t>
      </w:r>
    </w:p>
    <w:p>
      <w:pPr>
        <w:spacing w:line="460" w:lineRule="exact"/>
        <w:rPr>
          <w:rFonts w:hint="eastAsia" w:ascii="宋体" w:hAnsi="宋体" w:eastAsia="宋体" w:cs="宋体"/>
          <w:sz w:val="22"/>
          <w:szCs w:val="22"/>
          <w:highlight w:val="none"/>
        </w:rPr>
      </w:pPr>
    </w:p>
    <w:p>
      <w:pPr>
        <w:widowControl/>
        <w:jc w:val="left"/>
        <w:rPr>
          <w:rFonts w:hint="eastAsia" w:ascii="宋体" w:hAnsi="宋体" w:eastAsia="宋体" w:cs="宋体"/>
          <w:sz w:val="22"/>
          <w:szCs w:val="22"/>
          <w:highlight w:val="none"/>
        </w:rPr>
      </w:pPr>
    </w:p>
    <w:p>
      <w:pPr>
        <w:widowControl/>
        <w:jc w:val="left"/>
        <w:rPr>
          <w:rFonts w:hint="eastAsia" w:ascii="宋体" w:hAnsi="宋体" w:eastAsia="宋体" w:cs="宋体"/>
          <w:sz w:val="22"/>
          <w:szCs w:val="22"/>
          <w:highlight w:val="none"/>
        </w:rPr>
      </w:pPr>
    </w:p>
    <w:p>
      <w:pPr>
        <w:widowControl/>
        <w:jc w:val="left"/>
        <w:rPr>
          <w:rFonts w:hint="eastAsia" w:ascii="宋体" w:hAnsi="宋体" w:eastAsia="宋体" w:cs="宋体"/>
          <w:sz w:val="22"/>
          <w:szCs w:val="22"/>
          <w:highlight w:val="none"/>
        </w:rPr>
      </w:pPr>
      <w:r>
        <w:rPr>
          <w:rFonts w:hint="eastAsia" w:ascii="宋体" w:hAnsi="宋体" w:eastAsia="宋体" w:cs="宋体"/>
          <w:b/>
          <w:sz w:val="22"/>
          <w:szCs w:val="22"/>
          <w:highlight w:val="none"/>
        </w:rPr>
        <w:t>附：法定代表人身份证正反面复印件</w:t>
      </w:r>
      <w:r>
        <w:rPr>
          <w:rFonts w:hint="eastAsia" w:ascii="宋体" w:hAnsi="宋体" w:eastAsia="宋体" w:cs="宋体"/>
          <w:sz w:val="22"/>
          <w:szCs w:val="22"/>
          <w:highlight w:val="none"/>
        </w:rPr>
        <w:br w:type="page"/>
      </w:r>
    </w:p>
    <w:p>
      <w:pPr>
        <w:spacing w:line="380" w:lineRule="exact"/>
        <w:jc w:val="center"/>
        <w:rPr>
          <w:rFonts w:hint="eastAsia" w:ascii="宋体" w:hAnsi="宋体" w:eastAsia="宋体" w:cs="宋体"/>
          <w:b/>
          <w:sz w:val="22"/>
          <w:szCs w:val="22"/>
          <w:highlight w:val="none"/>
        </w:rPr>
      </w:pPr>
    </w:p>
    <w:p>
      <w:pPr>
        <w:spacing w:line="380" w:lineRule="exact"/>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（1）-2法定代表人授权书</w:t>
      </w:r>
    </w:p>
    <w:p>
      <w:pPr>
        <w:spacing w:line="400" w:lineRule="exact"/>
        <w:jc w:val="center"/>
        <w:rPr>
          <w:rFonts w:hint="eastAsia" w:ascii="宋体" w:hAnsi="宋体" w:eastAsia="宋体" w:cs="宋体"/>
          <w:b/>
          <w:bCs/>
          <w:sz w:val="22"/>
          <w:szCs w:val="22"/>
          <w:highlight w:val="none"/>
        </w:rPr>
      </w:pPr>
    </w:p>
    <w:p>
      <w:pPr>
        <w:spacing w:line="420" w:lineRule="exact"/>
        <w:rPr>
          <w:rFonts w:hint="eastAsia" w:ascii="宋体" w:hAnsi="宋体" w:eastAsia="宋体" w:cs="宋体"/>
          <w:sz w:val="22"/>
          <w:szCs w:val="22"/>
          <w:highlight w:val="none"/>
        </w:rPr>
      </w:pPr>
      <w:r>
        <w:rPr>
          <w:rFonts w:hint="eastAsia" w:ascii="宋体" w:hAnsi="宋体" w:eastAsia="宋体" w:cs="宋体"/>
          <w:sz w:val="22"/>
          <w:szCs w:val="22"/>
          <w:highlight w:val="none"/>
          <w:lang w:eastAsia="zh-CN"/>
        </w:rPr>
        <w:t>浙江东方职业技术学院</w:t>
      </w:r>
      <w:r>
        <w:rPr>
          <w:rFonts w:hint="eastAsia" w:ascii="宋体" w:hAnsi="宋体" w:eastAsia="宋体" w:cs="宋体"/>
          <w:sz w:val="22"/>
          <w:szCs w:val="22"/>
          <w:highlight w:val="none"/>
        </w:rPr>
        <w:t>：</w:t>
      </w:r>
    </w:p>
    <w:p>
      <w:pPr>
        <w:spacing w:line="42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浙江创嘉项目管理有限公司：</w:t>
      </w:r>
    </w:p>
    <w:p>
      <w:pPr>
        <w:spacing w:line="460" w:lineRule="exact"/>
        <w:rPr>
          <w:rFonts w:hint="eastAsia" w:ascii="宋体" w:hAnsi="宋体" w:eastAsia="宋体" w:cs="宋体"/>
          <w:sz w:val="22"/>
          <w:szCs w:val="22"/>
          <w:highlight w:val="none"/>
          <w:u w:val="single"/>
        </w:rPr>
      </w:pPr>
    </w:p>
    <w:p>
      <w:pPr>
        <w:spacing w:line="460" w:lineRule="exact"/>
        <w:ind w:firstLine="220" w:firstLineChars="100"/>
        <w:rPr>
          <w:rFonts w:hint="eastAsia" w:ascii="宋体" w:hAnsi="宋体" w:eastAsia="宋体" w:cs="宋体"/>
          <w:sz w:val="22"/>
          <w:szCs w:val="22"/>
          <w:highlight w:val="none"/>
        </w:rPr>
      </w:pPr>
      <w:r>
        <w:rPr>
          <w:rFonts w:hint="eastAsia" w:ascii="宋体" w:hAnsi="宋体" w:eastAsia="宋体" w:cs="宋体"/>
          <w:sz w:val="22"/>
          <w:szCs w:val="22"/>
          <w:highlight w:val="none"/>
          <w:u w:val="single"/>
        </w:rPr>
        <w:t>（供应商全称）</w:t>
      </w:r>
      <w:r>
        <w:rPr>
          <w:rFonts w:hint="eastAsia" w:ascii="宋体" w:hAnsi="宋体" w:eastAsia="宋体" w:cs="宋体"/>
          <w:sz w:val="22"/>
          <w:szCs w:val="22"/>
          <w:highlight w:val="none"/>
        </w:rPr>
        <w:t xml:space="preserve">法定代表人 </w:t>
      </w:r>
      <w:r>
        <w:rPr>
          <w:rFonts w:hint="eastAsia" w:ascii="宋体" w:hAnsi="宋体" w:eastAsia="宋体" w:cs="宋体"/>
          <w:sz w:val="22"/>
          <w:szCs w:val="22"/>
          <w:highlight w:val="none"/>
          <w:u w:val="single"/>
        </w:rPr>
        <w:t>（法定代表人姓名）</w:t>
      </w:r>
      <w:r>
        <w:rPr>
          <w:rFonts w:hint="eastAsia" w:ascii="宋体" w:hAnsi="宋体" w:eastAsia="宋体" w:cs="宋体"/>
          <w:sz w:val="22"/>
          <w:szCs w:val="22"/>
          <w:highlight w:val="none"/>
        </w:rPr>
        <w:t xml:space="preserve"> 授权</w:t>
      </w:r>
      <w:r>
        <w:rPr>
          <w:rFonts w:hint="eastAsia" w:ascii="宋体" w:hAnsi="宋体" w:eastAsia="宋体" w:cs="宋体"/>
          <w:sz w:val="22"/>
          <w:szCs w:val="22"/>
          <w:highlight w:val="none"/>
          <w:u w:val="single"/>
        </w:rPr>
        <w:t>（委托代理人姓名）</w:t>
      </w:r>
      <w:r>
        <w:rPr>
          <w:rFonts w:hint="eastAsia" w:ascii="宋体" w:hAnsi="宋体" w:eastAsia="宋体" w:cs="宋体"/>
          <w:sz w:val="22"/>
          <w:szCs w:val="22"/>
          <w:highlight w:val="none"/>
        </w:rPr>
        <w:t>为本项目全权代表，参加贵单位组织的</w:t>
      </w:r>
      <w:r>
        <w:rPr>
          <w:rFonts w:hint="eastAsia" w:ascii="宋体" w:hAnsi="宋体" w:eastAsia="宋体" w:cs="宋体"/>
          <w:sz w:val="22"/>
          <w:szCs w:val="22"/>
          <w:highlight w:val="none"/>
          <w:u w:val="single"/>
        </w:rPr>
        <w:t>（</w:t>
      </w:r>
      <w:r>
        <w:rPr>
          <w:rFonts w:hint="eastAsia" w:ascii="宋体" w:hAnsi="宋体" w:eastAsia="宋体" w:cs="宋体"/>
          <w:sz w:val="22"/>
          <w:szCs w:val="22"/>
          <w:highlight w:val="none"/>
          <w:u w:val="single"/>
          <w:lang w:eastAsia="zh-CN"/>
        </w:rPr>
        <w:t>项目名称</w:t>
      </w:r>
      <w:r>
        <w:rPr>
          <w:rFonts w:hint="eastAsia" w:ascii="宋体" w:hAnsi="宋体" w:eastAsia="宋体" w:cs="宋体"/>
          <w:sz w:val="22"/>
          <w:szCs w:val="22"/>
          <w:highlight w:val="none"/>
          <w:u w:val="single"/>
        </w:rPr>
        <w:t>、</w:t>
      </w:r>
      <w:r>
        <w:rPr>
          <w:rFonts w:hint="eastAsia" w:ascii="宋体" w:hAnsi="宋体" w:eastAsia="宋体" w:cs="宋体"/>
          <w:sz w:val="22"/>
          <w:szCs w:val="22"/>
          <w:highlight w:val="none"/>
          <w:u w:val="single"/>
          <w:lang w:eastAsia="zh-CN"/>
        </w:rPr>
        <w:t>项目编号</w:t>
      </w:r>
      <w:r>
        <w:rPr>
          <w:rFonts w:hint="eastAsia" w:ascii="宋体" w:hAnsi="宋体" w:eastAsia="宋体" w:cs="宋体"/>
          <w:sz w:val="22"/>
          <w:szCs w:val="22"/>
          <w:highlight w:val="none"/>
          <w:u w:val="single"/>
        </w:rPr>
        <w:t>）</w:t>
      </w:r>
      <w:r>
        <w:rPr>
          <w:rFonts w:hint="eastAsia" w:ascii="宋体" w:hAnsi="宋体" w:eastAsia="宋体" w:cs="宋体"/>
          <w:sz w:val="22"/>
          <w:szCs w:val="22"/>
          <w:highlight w:val="none"/>
        </w:rPr>
        <w:t>的采购活动，全权代表我方处理采购活动中的一切事宜。联系方式如下：</w:t>
      </w:r>
      <w:r>
        <w:rPr>
          <w:rFonts w:hint="eastAsia" w:ascii="宋体" w:hAnsi="宋体" w:eastAsia="宋体" w:cs="宋体"/>
          <w:sz w:val="22"/>
          <w:szCs w:val="22"/>
          <w:highlight w:val="none"/>
          <w:u w:val="single"/>
        </w:rPr>
        <w:t xml:space="preserve">手机号码：       联系邮箱:         详细通讯地址：             </w:t>
      </w:r>
      <w:r>
        <w:rPr>
          <w:rFonts w:hint="eastAsia" w:ascii="宋体" w:hAnsi="宋体" w:eastAsia="宋体" w:cs="宋体"/>
          <w:sz w:val="22"/>
          <w:szCs w:val="22"/>
          <w:highlight w:val="none"/>
        </w:rPr>
        <w:t xml:space="preserve"> 。  </w:t>
      </w:r>
    </w:p>
    <w:p>
      <w:pPr>
        <w:spacing w:line="460" w:lineRule="exact"/>
        <w:ind w:firstLine="220" w:firstLineChars="100"/>
        <w:rPr>
          <w:rFonts w:hint="eastAsia" w:ascii="宋体" w:hAnsi="宋体" w:eastAsia="宋体" w:cs="宋体"/>
          <w:sz w:val="22"/>
          <w:szCs w:val="22"/>
          <w:highlight w:val="none"/>
        </w:rPr>
      </w:pPr>
    </w:p>
    <w:p>
      <w:pPr>
        <w:spacing w:line="460" w:lineRule="exact"/>
        <w:ind w:firstLine="550" w:firstLineChars="250"/>
        <w:rPr>
          <w:rFonts w:hint="eastAsia" w:ascii="宋体" w:hAnsi="宋体" w:eastAsia="宋体" w:cs="宋体"/>
          <w:sz w:val="22"/>
          <w:szCs w:val="22"/>
          <w:highlight w:val="none"/>
        </w:rPr>
      </w:pPr>
    </w:p>
    <w:p>
      <w:pPr>
        <w:spacing w:line="460" w:lineRule="exact"/>
        <w:ind w:firstLine="2955"/>
        <w:rPr>
          <w:rFonts w:hint="eastAsia" w:ascii="宋体" w:hAnsi="宋体" w:eastAsia="宋体" w:cs="宋体"/>
          <w:sz w:val="22"/>
          <w:szCs w:val="22"/>
          <w:highlight w:val="none"/>
        </w:rPr>
      </w:pPr>
    </w:p>
    <w:p>
      <w:pPr>
        <w:spacing w:line="460" w:lineRule="exact"/>
        <w:ind w:firstLine="2955"/>
        <w:rPr>
          <w:rFonts w:hint="eastAsia" w:ascii="宋体" w:hAnsi="宋体" w:eastAsia="宋体" w:cs="宋体"/>
          <w:sz w:val="22"/>
          <w:szCs w:val="22"/>
          <w:highlight w:val="none"/>
        </w:rPr>
      </w:pPr>
    </w:p>
    <w:p>
      <w:pPr>
        <w:spacing w:line="460" w:lineRule="exact"/>
        <w:ind w:firstLine="3971" w:firstLineChars="1805"/>
        <w:rPr>
          <w:rFonts w:hint="eastAsia" w:ascii="宋体" w:hAnsi="宋体" w:eastAsia="宋体" w:cs="宋体"/>
          <w:sz w:val="22"/>
          <w:szCs w:val="22"/>
          <w:highlight w:val="none"/>
        </w:rPr>
      </w:pPr>
      <w:r>
        <w:rPr>
          <w:rFonts w:hint="eastAsia" w:ascii="宋体" w:hAnsi="宋体" w:eastAsia="宋体" w:cs="宋体"/>
          <w:sz w:val="22"/>
          <w:szCs w:val="22"/>
          <w:highlight w:val="none"/>
        </w:rPr>
        <w:t>法定代表人 (签字或盖章)：</w:t>
      </w:r>
    </w:p>
    <w:p>
      <w:pPr>
        <w:spacing w:line="460" w:lineRule="exact"/>
        <w:ind w:firstLine="2955"/>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         供应商名称（盖章）：</w:t>
      </w:r>
    </w:p>
    <w:p>
      <w:pPr>
        <w:spacing w:line="460" w:lineRule="exact"/>
        <w:ind w:firstLine="2955"/>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         日期：     年    月   日</w:t>
      </w:r>
    </w:p>
    <w:p>
      <w:pPr>
        <w:spacing w:line="460" w:lineRule="exact"/>
        <w:rPr>
          <w:rFonts w:hint="eastAsia" w:ascii="宋体" w:hAnsi="宋体" w:eastAsia="宋体" w:cs="宋体"/>
          <w:sz w:val="22"/>
          <w:szCs w:val="22"/>
          <w:highlight w:val="none"/>
        </w:rPr>
      </w:pPr>
    </w:p>
    <w:p>
      <w:pPr>
        <w:spacing w:line="460" w:lineRule="exact"/>
        <w:rPr>
          <w:rFonts w:hint="eastAsia" w:ascii="宋体" w:hAnsi="宋体" w:eastAsia="宋体" w:cs="宋体"/>
          <w:sz w:val="22"/>
          <w:szCs w:val="22"/>
          <w:highlight w:val="none"/>
        </w:rPr>
      </w:pPr>
    </w:p>
    <w:p>
      <w:pPr>
        <w:spacing w:line="460" w:lineRule="exact"/>
        <w:rPr>
          <w:rFonts w:hint="eastAsia" w:ascii="宋体" w:hAnsi="宋体" w:eastAsia="宋体" w:cs="宋体"/>
          <w:sz w:val="22"/>
          <w:szCs w:val="22"/>
          <w:highlight w:val="none"/>
        </w:rPr>
      </w:pPr>
      <w:r>
        <w:rPr>
          <w:rFonts w:hint="eastAsia" w:ascii="宋体" w:hAnsi="宋体" w:eastAsia="宋体" w:cs="宋体"/>
          <w:b/>
          <w:sz w:val="22"/>
          <w:szCs w:val="22"/>
          <w:highlight w:val="none"/>
        </w:rPr>
        <w:t>附：法定代表人及授权代表的身份证正反面复印件</w:t>
      </w:r>
    </w:p>
    <w:p>
      <w:pPr>
        <w:widowControl/>
        <w:jc w:val="left"/>
        <w:rPr>
          <w:rFonts w:hint="eastAsia" w:ascii="宋体" w:hAnsi="宋体" w:eastAsia="宋体" w:cs="宋体"/>
          <w:b/>
          <w:bCs/>
          <w:sz w:val="22"/>
          <w:szCs w:val="22"/>
          <w:highlight w:val="none"/>
        </w:rPr>
      </w:pPr>
    </w:p>
    <w:p>
      <w:pPr>
        <w:widowControl/>
        <w:jc w:val="left"/>
        <w:rPr>
          <w:rFonts w:hint="eastAsia" w:ascii="宋体" w:hAnsi="宋体" w:eastAsia="宋体" w:cs="宋体"/>
          <w:b/>
          <w:bCs/>
          <w:sz w:val="22"/>
          <w:szCs w:val="22"/>
          <w:highlight w:val="none"/>
        </w:rPr>
      </w:pPr>
    </w:p>
    <w:p>
      <w:pPr>
        <w:widowControl/>
        <w:jc w:val="left"/>
        <w:rPr>
          <w:rFonts w:hint="eastAsia" w:ascii="宋体" w:hAnsi="宋体" w:eastAsia="宋体" w:cs="宋体"/>
          <w:b/>
          <w:bCs/>
          <w:sz w:val="22"/>
          <w:szCs w:val="22"/>
          <w:highlight w:val="none"/>
        </w:rPr>
      </w:pPr>
    </w:p>
    <w:p>
      <w:pPr>
        <w:widowControl/>
        <w:jc w:val="left"/>
        <w:rPr>
          <w:rFonts w:hint="eastAsia" w:ascii="宋体" w:hAnsi="宋体" w:eastAsia="宋体" w:cs="宋体"/>
          <w:b/>
          <w:bCs/>
          <w:sz w:val="22"/>
          <w:szCs w:val="22"/>
          <w:highlight w:val="none"/>
        </w:rPr>
      </w:pPr>
    </w:p>
    <w:p>
      <w:pPr>
        <w:widowControl/>
        <w:jc w:val="left"/>
        <w:rPr>
          <w:rFonts w:hint="eastAsia" w:ascii="宋体" w:hAnsi="宋体" w:eastAsia="宋体" w:cs="宋体"/>
          <w:b/>
          <w:bCs/>
          <w:sz w:val="22"/>
          <w:szCs w:val="22"/>
          <w:highlight w:val="none"/>
        </w:rPr>
      </w:pPr>
    </w:p>
    <w:p>
      <w:pPr>
        <w:widowControl/>
        <w:jc w:val="left"/>
        <w:rPr>
          <w:rFonts w:hint="eastAsia" w:ascii="宋体" w:hAnsi="宋体" w:eastAsia="宋体" w:cs="宋体"/>
          <w:b/>
          <w:bCs/>
          <w:sz w:val="22"/>
          <w:szCs w:val="22"/>
          <w:highlight w:val="none"/>
        </w:rPr>
      </w:pPr>
    </w:p>
    <w:p>
      <w:pPr>
        <w:widowControl/>
        <w:jc w:val="left"/>
        <w:rPr>
          <w:rFonts w:hint="eastAsia" w:ascii="宋体" w:hAnsi="宋体" w:eastAsia="宋体" w:cs="宋体"/>
          <w:b/>
          <w:bCs/>
          <w:sz w:val="22"/>
          <w:szCs w:val="22"/>
          <w:highlight w:val="none"/>
        </w:rPr>
      </w:pPr>
    </w:p>
    <w:p>
      <w:pPr>
        <w:widowControl/>
        <w:jc w:val="left"/>
        <w:rPr>
          <w:rFonts w:hint="eastAsia" w:ascii="宋体" w:hAnsi="宋体" w:eastAsia="宋体" w:cs="宋体"/>
          <w:b/>
          <w:bCs/>
          <w:sz w:val="22"/>
          <w:szCs w:val="22"/>
          <w:highlight w:val="none"/>
        </w:rPr>
      </w:pPr>
    </w:p>
    <w:p>
      <w:pPr>
        <w:spacing w:line="460" w:lineRule="exact"/>
        <w:rPr>
          <w:rFonts w:hint="eastAsia" w:ascii="宋体" w:hAnsi="宋体" w:eastAsia="宋体" w:cs="宋体"/>
          <w:sz w:val="22"/>
          <w:szCs w:val="22"/>
          <w:highlight w:val="none"/>
        </w:rPr>
      </w:pPr>
    </w:p>
    <w:p>
      <w:pPr>
        <w:spacing w:line="460" w:lineRule="exact"/>
        <w:rPr>
          <w:rFonts w:hint="eastAsia" w:ascii="宋体" w:hAnsi="宋体" w:eastAsia="宋体" w:cs="宋体"/>
          <w:sz w:val="22"/>
          <w:szCs w:val="22"/>
          <w:highlight w:val="none"/>
        </w:rPr>
      </w:pPr>
    </w:p>
    <w:p>
      <w:pPr>
        <w:spacing w:line="460" w:lineRule="exact"/>
        <w:rPr>
          <w:rFonts w:hint="eastAsia" w:ascii="宋体" w:hAnsi="宋体" w:eastAsia="宋体" w:cs="宋体"/>
          <w:sz w:val="22"/>
          <w:szCs w:val="22"/>
          <w:highlight w:val="none"/>
        </w:rPr>
      </w:pPr>
    </w:p>
    <w:p>
      <w:pPr>
        <w:spacing w:line="460" w:lineRule="exact"/>
        <w:rPr>
          <w:rFonts w:hint="eastAsia" w:ascii="宋体" w:hAnsi="宋体" w:eastAsia="宋体" w:cs="宋体"/>
          <w:sz w:val="22"/>
          <w:szCs w:val="22"/>
          <w:highlight w:val="none"/>
        </w:rPr>
      </w:pPr>
    </w:p>
    <w:p>
      <w:pPr>
        <w:spacing w:line="46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说明：</w:t>
      </w:r>
    </w:p>
    <w:p>
      <w:pPr>
        <w:spacing w:line="460" w:lineRule="exact"/>
        <w:rPr>
          <w:rFonts w:hint="eastAsia" w:ascii="宋体" w:hAnsi="宋体" w:eastAsia="宋体" w:cs="宋体"/>
          <w:sz w:val="22"/>
          <w:szCs w:val="22"/>
          <w:highlight w:val="none"/>
        </w:rPr>
      </w:pPr>
      <w:r>
        <w:rPr>
          <w:rFonts w:hint="eastAsia" w:ascii="宋体" w:hAnsi="宋体" w:eastAsia="宋体" w:cs="宋体"/>
          <w:b/>
          <w:sz w:val="22"/>
          <w:szCs w:val="22"/>
          <w:highlight w:val="none"/>
        </w:rPr>
        <w:t>1、若供应商代表为法定代表人，应提供声明书（1）-1并提交法定代表人身份证正反面复印件；</w:t>
      </w:r>
    </w:p>
    <w:p>
      <w:pPr>
        <w:spacing w:line="460" w:lineRule="exact"/>
        <w:rPr>
          <w:rFonts w:hint="eastAsia" w:ascii="宋体" w:hAnsi="宋体" w:eastAsia="宋体" w:cs="宋体"/>
          <w:b/>
          <w:sz w:val="22"/>
          <w:szCs w:val="22"/>
          <w:highlight w:val="none"/>
        </w:rPr>
      </w:pPr>
      <w:r>
        <w:rPr>
          <w:rFonts w:hint="eastAsia" w:ascii="宋体" w:hAnsi="宋体" w:eastAsia="宋体" w:cs="宋体"/>
          <w:b/>
          <w:sz w:val="22"/>
          <w:szCs w:val="22"/>
          <w:highlight w:val="none"/>
        </w:rPr>
        <w:t>2、若供应商代表为法定代表人授权的委托代理人，应提供授权书（1）-2，并附法定代表人及授权代表的身份证正反面复印件。</w:t>
      </w:r>
    </w:p>
    <w:p>
      <w:pPr>
        <w:tabs>
          <w:tab w:val="left" w:pos="0"/>
          <w:tab w:val="left" w:pos="600"/>
        </w:tabs>
        <w:spacing w:line="400" w:lineRule="exact"/>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 xml:space="preserve"> (2) 有效营业执照、税务登记证（如为多证合一仅需提供营业执照）（复印件盖公章）</w:t>
      </w:r>
    </w:p>
    <w:p>
      <w:pPr>
        <w:pStyle w:val="12"/>
        <w:ind w:firstLine="221"/>
        <w:rPr>
          <w:rFonts w:hint="eastAsia" w:ascii="宋体" w:hAnsi="宋体" w:eastAsia="宋体" w:cs="宋体"/>
          <w:b/>
          <w:color w:val="000000" w:themeColor="text1"/>
          <w:sz w:val="22"/>
          <w:szCs w:val="22"/>
          <w:highlight w:val="none"/>
          <w14:textFill>
            <w14:solidFill>
              <w14:schemeClr w14:val="tx1"/>
            </w14:solidFill>
          </w14:textFill>
        </w:rPr>
      </w:pPr>
    </w:p>
    <w:p>
      <w:pPr>
        <w:pStyle w:val="12"/>
        <w:ind w:firstLine="221"/>
        <w:rPr>
          <w:rFonts w:hint="eastAsia" w:ascii="宋体" w:hAnsi="宋体" w:eastAsia="宋体" w:cs="宋体"/>
          <w:b/>
          <w:color w:val="000000" w:themeColor="text1"/>
          <w:sz w:val="22"/>
          <w:szCs w:val="22"/>
          <w:highlight w:val="none"/>
          <w14:textFill>
            <w14:solidFill>
              <w14:schemeClr w14:val="tx1"/>
            </w14:solidFill>
          </w14:textFill>
        </w:rPr>
      </w:pPr>
    </w:p>
    <w:p>
      <w:pPr>
        <w:pStyle w:val="12"/>
        <w:ind w:firstLine="210"/>
        <w:rPr>
          <w:rFonts w:hint="eastAsia" w:ascii="宋体" w:hAnsi="宋体" w:eastAsia="宋体" w:cs="宋体"/>
          <w:color w:val="000000" w:themeColor="text1"/>
          <w:sz w:val="22"/>
          <w:szCs w:val="22"/>
          <w:highlight w:val="none"/>
          <w14:textFill>
            <w14:solidFill>
              <w14:schemeClr w14:val="tx1"/>
            </w14:solidFill>
          </w14:textFill>
        </w:rPr>
      </w:pPr>
    </w:p>
    <w:p>
      <w:pPr>
        <w:tabs>
          <w:tab w:val="left" w:pos="0"/>
          <w:tab w:val="left" w:pos="600"/>
        </w:tabs>
        <w:spacing w:line="400" w:lineRule="exact"/>
        <w:jc w:val="center"/>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(3)具有良好的商业信誉和健全的财务会计制度的承诺函</w:t>
      </w:r>
    </w:p>
    <w:p>
      <w:pPr>
        <w:pStyle w:val="12"/>
        <w:ind w:firstLine="210"/>
        <w:rPr>
          <w:rFonts w:hint="eastAsia" w:ascii="宋体" w:hAnsi="宋体" w:eastAsia="宋体" w:cs="宋体"/>
          <w:color w:val="000000" w:themeColor="text1"/>
          <w:sz w:val="22"/>
          <w:szCs w:val="22"/>
          <w:highlight w:val="none"/>
          <w14:textFill>
            <w14:solidFill>
              <w14:schemeClr w14:val="tx1"/>
            </w14:solidFill>
          </w14:textFill>
        </w:rPr>
      </w:pPr>
    </w:p>
    <w:p>
      <w:pPr>
        <w:widowControl/>
        <w:adjustRightInd w:val="0"/>
        <w:snapToGrid w:val="0"/>
        <w:spacing w:line="360" w:lineRule="auto"/>
        <w:ind w:firstLine="420"/>
        <w:jc w:val="lef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u w:val="single"/>
          <w14:textFill>
            <w14:solidFill>
              <w14:schemeClr w14:val="tx1"/>
            </w14:solidFill>
          </w14:textFill>
        </w:rPr>
        <w:t>（采购人）</w:t>
      </w:r>
      <w:r>
        <w:rPr>
          <w:rFonts w:hint="eastAsia" w:ascii="宋体" w:hAnsi="宋体" w:eastAsia="宋体" w:cs="宋体"/>
          <w:color w:val="000000" w:themeColor="text1"/>
          <w:kern w:val="0"/>
          <w:sz w:val="22"/>
          <w:szCs w:val="22"/>
          <w:highlight w:val="none"/>
          <w14:textFill>
            <w14:solidFill>
              <w14:schemeClr w14:val="tx1"/>
            </w14:solidFill>
          </w14:textFill>
        </w:rPr>
        <w:t>：</w:t>
      </w:r>
    </w:p>
    <w:p>
      <w:pPr>
        <w:widowControl/>
        <w:adjustRightInd w:val="0"/>
        <w:snapToGrid w:val="0"/>
        <w:spacing w:line="360" w:lineRule="auto"/>
        <w:ind w:firstLine="420"/>
        <w:jc w:val="lef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我方</w:t>
      </w:r>
      <w:r>
        <w:rPr>
          <w:rFonts w:hint="eastAsia" w:ascii="宋体" w:hAnsi="宋体" w:eastAsia="宋体" w:cs="宋体"/>
          <w:color w:val="000000" w:themeColor="text1"/>
          <w:kern w:val="0"/>
          <w:sz w:val="22"/>
          <w:szCs w:val="22"/>
          <w:highlight w:val="none"/>
          <w:u w:val="single"/>
          <w14:textFill>
            <w14:solidFill>
              <w14:schemeClr w14:val="tx1"/>
            </w14:solidFill>
          </w14:textFill>
        </w:rPr>
        <w:t xml:space="preserve"> （供应商）</w:t>
      </w:r>
      <w:r>
        <w:rPr>
          <w:rFonts w:hint="eastAsia" w:ascii="宋体" w:hAnsi="宋体" w:eastAsia="宋体" w:cs="宋体"/>
          <w:color w:val="000000" w:themeColor="text1"/>
          <w:kern w:val="0"/>
          <w:sz w:val="22"/>
          <w:szCs w:val="22"/>
          <w:highlight w:val="none"/>
          <w14:textFill>
            <w14:solidFill>
              <w14:schemeClr w14:val="tx1"/>
            </w14:solidFill>
          </w14:textFill>
        </w:rPr>
        <w:t>承诺良好的商业信誉和健全的财务会计制度的承诺函。如有虚假，采购人可取消我方任何资格（报价/中标/签订合同），我方对此无任何异议。</w:t>
      </w:r>
    </w:p>
    <w:p>
      <w:pPr>
        <w:widowControl/>
        <w:adjustRightInd w:val="0"/>
        <w:snapToGrid w:val="0"/>
        <w:spacing w:line="360" w:lineRule="auto"/>
        <w:ind w:firstLine="420"/>
        <w:jc w:val="lef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特此承诺！</w:t>
      </w:r>
    </w:p>
    <w:p>
      <w:pPr>
        <w:widowControl/>
        <w:adjustRightInd w:val="0"/>
        <w:snapToGrid w:val="0"/>
        <w:spacing w:line="360" w:lineRule="auto"/>
        <w:ind w:firstLine="420"/>
        <w:jc w:val="left"/>
        <w:rPr>
          <w:rFonts w:hint="eastAsia" w:ascii="宋体" w:hAnsi="宋体" w:eastAsia="宋体" w:cs="宋体"/>
          <w:color w:val="000000" w:themeColor="text1"/>
          <w:kern w:val="0"/>
          <w:sz w:val="22"/>
          <w:szCs w:val="22"/>
          <w:highlight w:val="none"/>
          <w14:textFill>
            <w14:solidFill>
              <w14:schemeClr w14:val="tx1"/>
            </w14:solidFill>
          </w14:textFill>
        </w:rPr>
      </w:pPr>
    </w:p>
    <w:p>
      <w:pPr>
        <w:widowControl/>
        <w:adjustRightInd w:val="0"/>
        <w:snapToGrid w:val="0"/>
        <w:spacing w:line="360" w:lineRule="auto"/>
        <w:ind w:firstLine="420"/>
        <w:jc w:val="lef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供应商名称（盖章） ：</w:t>
      </w:r>
    </w:p>
    <w:p>
      <w:pPr>
        <w:widowControl/>
        <w:adjustRightInd w:val="0"/>
        <w:snapToGrid w:val="0"/>
        <w:spacing w:line="360" w:lineRule="auto"/>
        <w:ind w:firstLine="420"/>
        <w:jc w:val="lef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法定代表人或其授权代表（签字或盖章）：</w:t>
      </w:r>
    </w:p>
    <w:p>
      <w:pPr>
        <w:widowControl/>
        <w:adjustRightInd w:val="0"/>
        <w:snapToGrid w:val="0"/>
        <w:spacing w:line="360" w:lineRule="auto"/>
        <w:ind w:firstLine="420"/>
        <w:jc w:val="lef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日期：     年  月  日</w:t>
      </w:r>
    </w:p>
    <w:p>
      <w:pPr>
        <w:tabs>
          <w:tab w:val="left" w:pos="0"/>
        </w:tabs>
        <w:spacing w:line="400" w:lineRule="exact"/>
        <w:rPr>
          <w:rFonts w:hint="eastAsia" w:ascii="宋体" w:hAnsi="宋体" w:eastAsia="宋体" w:cs="宋体"/>
          <w:b/>
          <w:color w:val="000000" w:themeColor="text1"/>
          <w:sz w:val="22"/>
          <w:szCs w:val="22"/>
          <w:highlight w:val="none"/>
          <w14:textFill>
            <w14:solidFill>
              <w14:schemeClr w14:val="tx1"/>
            </w14:solidFill>
          </w14:textFill>
        </w:rPr>
      </w:pPr>
    </w:p>
    <w:p>
      <w:pPr>
        <w:pStyle w:val="12"/>
        <w:ind w:firstLine="221"/>
        <w:rPr>
          <w:rFonts w:hint="eastAsia" w:ascii="宋体" w:hAnsi="宋体" w:eastAsia="宋体" w:cs="宋体"/>
          <w:b/>
          <w:color w:val="000000" w:themeColor="text1"/>
          <w:sz w:val="22"/>
          <w:szCs w:val="22"/>
          <w:highlight w:val="none"/>
          <w14:textFill>
            <w14:solidFill>
              <w14:schemeClr w14:val="tx1"/>
            </w14:solidFill>
          </w14:textFill>
        </w:rPr>
      </w:pPr>
    </w:p>
    <w:p>
      <w:pPr>
        <w:pStyle w:val="12"/>
        <w:ind w:firstLine="221"/>
        <w:rPr>
          <w:rFonts w:hint="eastAsia" w:ascii="宋体" w:hAnsi="宋体" w:eastAsia="宋体" w:cs="宋体"/>
          <w:b/>
          <w:color w:val="000000" w:themeColor="text1"/>
          <w:sz w:val="22"/>
          <w:szCs w:val="22"/>
          <w:highlight w:val="none"/>
          <w14:textFill>
            <w14:solidFill>
              <w14:schemeClr w14:val="tx1"/>
            </w14:solidFill>
          </w14:textFill>
        </w:rPr>
      </w:pPr>
    </w:p>
    <w:p>
      <w:pPr>
        <w:pStyle w:val="12"/>
        <w:ind w:firstLine="221"/>
        <w:rPr>
          <w:rFonts w:hint="eastAsia" w:ascii="宋体" w:hAnsi="宋体" w:eastAsia="宋体" w:cs="宋体"/>
          <w:b/>
          <w:color w:val="000000" w:themeColor="text1"/>
          <w:sz w:val="22"/>
          <w:szCs w:val="22"/>
          <w:highlight w:val="none"/>
          <w14:textFill>
            <w14:solidFill>
              <w14:schemeClr w14:val="tx1"/>
            </w14:solidFill>
          </w14:textFill>
        </w:rPr>
      </w:pPr>
    </w:p>
    <w:p>
      <w:pPr>
        <w:tabs>
          <w:tab w:val="left" w:pos="0"/>
          <w:tab w:val="left" w:pos="600"/>
        </w:tabs>
        <w:spacing w:line="400" w:lineRule="exact"/>
        <w:jc w:val="center"/>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(4)具有履行合同所必需的设备和专业技术能力的承诺函</w:t>
      </w:r>
    </w:p>
    <w:p>
      <w:pPr>
        <w:pStyle w:val="12"/>
        <w:ind w:firstLine="210"/>
        <w:rPr>
          <w:rFonts w:hint="eastAsia" w:ascii="宋体" w:hAnsi="宋体" w:eastAsia="宋体" w:cs="宋体"/>
          <w:color w:val="000000" w:themeColor="text1"/>
          <w:sz w:val="22"/>
          <w:szCs w:val="22"/>
          <w:highlight w:val="none"/>
          <w14:textFill>
            <w14:solidFill>
              <w14:schemeClr w14:val="tx1"/>
            </w14:solidFill>
          </w14:textFill>
        </w:rPr>
      </w:pPr>
    </w:p>
    <w:p>
      <w:pPr>
        <w:widowControl/>
        <w:adjustRightInd w:val="0"/>
        <w:snapToGrid w:val="0"/>
        <w:spacing w:line="360" w:lineRule="auto"/>
        <w:ind w:firstLine="420"/>
        <w:jc w:val="lef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u w:val="single"/>
          <w14:textFill>
            <w14:solidFill>
              <w14:schemeClr w14:val="tx1"/>
            </w14:solidFill>
          </w14:textFill>
        </w:rPr>
        <w:t>（采购人）</w:t>
      </w:r>
      <w:r>
        <w:rPr>
          <w:rFonts w:hint="eastAsia" w:ascii="宋体" w:hAnsi="宋体" w:eastAsia="宋体" w:cs="宋体"/>
          <w:color w:val="000000" w:themeColor="text1"/>
          <w:kern w:val="0"/>
          <w:sz w:val="22"/>
          <w:szCs w:val="22"/>
          <w:highlight w:val="none"/>
          <w14:textFill>
            <w14:solidFill>
              <w14:schemeClr w14:val="tx1"/>
            </w14:solidFill>
          </w14:textFill>
        </w:rPr>
        <w:t>：</w:t>
      </w:r>
    </w:p>
    <w:p>
      <w:pPr>
        <w:widowControl/>
        <w:adjustRightInd w:val="0"/>
        <w:snapToGrid w:val="0"/>
        <w:spacing w:line="360" w:lineRule="auto"/>
        <w:ind w:firstLine="420"/>
        <w:jc w:val="lef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我方</w:t>
      </w:r>
      <w:r>
        <w:rPr>
          <w:rFonts w:hint="eastAsia" w:ascii="宋体" w:hAnsi="宋体" w:eastAsia="宋体" w:cs="宋体"/>
          <w:color w:val="000000" w:themeColor="text1"/>
          <w:kern w:val="0"/>
          <w:sz w:val="22"/>
          <w:szCs w:val="22"/>
          <w:highlight w:val="none"/>
          <w:u w:val="single"/>
          <w14:textFill>
            <w14:solidFill>
              <w14:schemeClr w14:val="tx1"/>
            </w14:solidFill>
          </w14:textFill>
        </w:rPr>
        <w:t xml:space="preserve"> （供应商）</w:t>
      </w:r>
      <w:r>
        <w:rPr>
          <w:rFonts w:hint="eastAsia" w:ascii="宋体" w:hAnsi="宋体" w:eastAsia="宋体" w:cs="宋体"/>
          <w:color w:val="000000" w:themeColor="text1"/>
          <w:kern w:val="0"/>
          <w:sz w:val="22"/>
          <w:szCs w:val="22"/>
          <w:highlight w:val="none"/>
          <w14:textFill>
            <w14:solidFill>
              <w14:schemeClr w14:val="tx1"/>
            </w14:solidFill>
          </w14:textFill>
        </w:rPr>
        <w:t>承诺具有履行合同所必需的设备和专业技术能力。如有虚假，采购人可取消我方任何资格（报价/中标/签订合同），我方对此无任何异议。</w:t>
      </w:r>
    </w:p>
    <w:p>
      <w:pPr>
        <w:widowControl/>
        <w:adjustRightInd w:val="0"/>
        <w:snapToGrid w:val="0"/>
        <w:spacing w:line="360" w:lineRule="auto"/>
        <w:ind w:firstLine="420"/>
        <w:jc w:val="lef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特此承诺！</w:t>
      </w:r>
    </w:p>
    <w:p>
      <w:pPr>
        <w:widowControl/>
        <w:adjustRightInd w:val="0"/>
        <w:snapToGrid w:val="0"/>
        <w:spacing w:line="360" w:lineRule="auto"/>
        <w:ind w:firstLine="420"/>
        <w:jc w:val="left"/>
        <w:rPr>
          <w:rFonts w:hint="eastAsia" w:ascii="宋体" w:hAnsi="宋体" w:eastAsia="宋体" w:cs="宋体"/>
          <w:color w:val="000000" w:themeColor="text1"/>
          <w:kern w:val="0"/>
          <w:sz w:val="22"/>
          <w:szCs w:val="22"/>
          <w:highlight w:val="none"/>
          <w14:textFill>
            <w14:solidFill>
              <w14:schemeClr w14:val="tx1"/>
            </w14:solidFill>
          </w14:textFill>
        </w:rPr>
      </w:pPr>
    </w:p>
    <w:p>
      <w:pPr>
        <w:widowControl/>
        <w:adjustRightInd w:val="0"/>
        <w:snapToGrid w:val="0"/>
        <w:spacing w:line="360" w:lineRule="auto"/>
        <w:ind w:firstLine="420"/>
        <w:jc w:val="lef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供应商名称（盖章） ：</w:t>
      </w:r>
    </w:p>
    <w:p>
      <w:pPr>
        <w:widowControl/>
        <w:adjustRightInd w:val="0"/>
        <w:snapToGrid w:val="0"/>
        <w:spacing w:line="360" w:lineRule="auto"/>
        <w:ind w:firstLine="420"/>
        <w:jc w:val="lef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法定代表人或其授权代表（签字或盖章）：</w:t>
      </w:r>
    </w:p>
    <w:p>
      <w:pPr>
        <w:widowControl/>
        <w:adjustRightInd w:val="0"/>
        <w:snapToGrid w:val="0"/>
        <w:spacing w:line="360" w:lineRule="auto"/>
        <w:ind w:firstLine="420"/>
        <w:jc w:val="lef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日期：     年  月  日</w:t>
      </w:r>
    </w:p>
    <w:p>
      <w:pPr>
        <w:pStyle w:val="12"/>
        <w:ind w:firstLine="220"/>
        <w:rPr>
          <w:rFonts w:hint="eastAsia" w:ascii="宋体" w:hAnsi="宋体" w:eastAsia="宋体" w:cs="宋体"/>
          <w:color w:val="000000" w:themeColor="text1"/>
          <w:kern w:val="0"/>
          <w:sz w:val="22"/>
          <w:szCs w:val="22"/>
          <w:highlight w:val="none"/>
          <w14:textFill>
            <w14:solidFill>
              <w14:schemeClr w14:val="tx1"/>
            </w14:solidFill>
          </w14:textFill>
        </w:rPr>
      </w:pPr>
    </w:p>
    <w:p>
      <w:pPr>
        <w:pStyle w:val="12"/>
        <w:ind w:firstLine="220"/>
        <w:rPr>
          <w:rFonts w:hint="eastAsia" w:ascii="宋体" w:hAnsi="宋体" w:eastAsia="宋体" w:cs="宋体"/>
          <w:color w:val="000000" w:themeColor="text1"/>
          <w:kern w:val="0"/>
          <w:sz w:val="22"/>
          <w:szCs w:val="22"/>
          <w:highlight w:val="none"/>
          <w14:textFill>
            <w14:solidFill>
              <w14:schemeClr w14:val="tx1"/>
            </w14:solidFill>
          </w14:textFill>
        </w:rPr>
      </w:pPr>
    </w:p>
    <w:p>
      <w:pPr>
        <w:pStyle w:val="12"/>
        <w:ind w:firstLine="220"/>
        <w:rPr>
          <w:rFonts w:hint="eastAsia" w:ascii="宋体" w:hAnsi="宋体" w:eastAsia="宋体" w:cs="宋体"/>
          <w:color w:val="000000" w:themeColor="text1"/>
          <w:kern w:val="0"/>
          <w:sz w:val="22"/>
          <w:szCs w:val="22"/>
          <w:highlight w:val="none"/>
          <w14:textFill>
            <w14:solidFill>
              <w14:schemeClr w14:val="tx1"/>
            </w14:solidFill>
          </w14:textFill>
        </w:rPr>
      </w:pPr>
    </w:p>
    <w:p>
      <w:pPr>
        <w:pStyle w:val="12"/>
        <w:ind w:firstLine="220"/>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br w:type="page"/>
      </w:r>
    </w:p>
    <w:p>
      <w:pPr>
        <w:tabs>
          <w:tab w:val="left" w:pos="0"/>
          <w:tab w:val="left" w:pos="600"/>
        </w:tabs>
        <w:spacing w:line="400" w:lineRule="exact"/>
        <w:jc w:val="center"/>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(5)有依法缴纳税收和社会保障资金的良好记录的承诺函</w:t>
      </w:r>
    </w:p>
    <w:p>
      <w:pPr>
        <w:pStyle w:val="12"/>
        <w:ind w:firstLine="210"/>
        <w:rPr>
          <w:rFonts w:hint="eastAsia" w:ascii="宋体" w:hAnsi="宋体" w:eastAsia="宋体" w:cs="宋体"/>
          <w:color w:val="000000" w:themeColor="text1"/>
          <w:sz w:val="22"/>
          <w:szCs w:val="22"/>
          <w:highlight w:val="none"/>
          <w14:textFill>
            <w14:solidFill>
              <w14:schemeClr w14:val="tx1"/>
            </w14:solidFill>
          </w14:textFill>
        </w:rPr>
      </w:pPr>
    </w:p>
    <w:p>
      <w:pPr>
        <w:widowControl/>
        <w:adjustRightInd w:val="0"/>
        <w:snapToGrid w:val="0"/>
        <w:spacing w:line="360" w:lineRule="auto"/>
        <w:ind w:firstLine="420"/>
        <w:jc w:val="lef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u w:val="single"/>
          <w14:textFill>
            <w14:solidFill>
              <w14:schemeClr w14:val="tx1"/>
            </w14:solidFill>
          </w14:textFill>
        </w:rPr>
        <w:t>（采购人）</w:t>
      </w:r>
      <w:r>
        <w:rPr>
          <w:rFonts w:hint="eastAsia" w:ascii="宋体" w:hAnsi="宋体" w:eastAsia="宋体" w:cs="宋体"/>
          <w:color w:val="000000" w:themeColor="text1"/>
          <w:kern w:val="0"/>
          <w:sz w:val="22"/>
          <w:szCs w:val="22"/>
          <w:highlight w:val="none"/>
          <w14:textFill>
            <w14:solidFill>
              <w14:schemeClr w14:val="tx1"/>
            </w14:solidFill>
          </w14:textFill>
        </w:rPr>
        <w:t>：</w:t>
      </w:r>
    </w:p>
    <w:p>
      <w:pPr>
        <w:widowControl/>
        <w:adjustRightInd w:val="0"/>
        <w:snapToGrid w:val="0"/>
        <w:spacing w:line="360" w:lineRule="auto"/>
        <w:ind w:firstLine="420"/>
        <w:jc w:val="lef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我方</w:t>
      </w:r>
      <w:r>
        <w:rPr>
          <w:rFonts w:hint="eastAsia" w:ascii="宋体" w:hAnsi="宋体" w:eastAsia="宋体" w:cs="宋体"/>
          <w:color w:val="000000" w:themeColor="text1"/>
          <w:kern w:val="0"/>
          <w:sz w:val="22"/>
          <w:szCs w:val="22"/>
          <w:highlight w:val="none"/>
          <w:u w:val="single"/>
          <w14:textFill>
            <w14:solidFill>
              <w14:schemeClr w14:val="tx1"/>
            </w14:solidFill>
          </w14:textFill>
        </w:rPr>
        <w:t xml:space="preserve"> （供应商）</w:t>
      </w:r>
      <w:r>
        <w:rPr>
          <w:rFonts w:hint="eastAsia" w:ascii="宋体" w:hAnsi="宋体" w:eastAsia="宋体" w:cs="宋体"/>
          <w:color w:val="000000" w:themeColor="text1"/>
          <w:kern w:val="0"/>
          <w:sz w:val="22"/>
          <w:szCs w:val="22"/>
          <w:highlight w:val="none"/>
          <w14:textFill>
            <w14:solidFill>
              <w14:schemeClr w14:val="tx1"/>
            </w14:solidFill>
          </w14:textFill>
        </w:rPr>
        <w:t>承诺具有</w:t>
      </w:r>
      <w:r>
        <w:rPr>
          <w:rFonts w:hint="eastAsia" w:ascii="宋体" w:hAnsi="宋体" w:eastAsia="宋体" w:cs="宋体"/>
          <w:color w:val="000000" w:themeColor="text1"/>
          <w:sz w:val="22"/>
          <w:szCs w:val="22"/>
          <w:highlight w:val="none"/>
          <w14:textFill>
            <w14:solidFill>
              <w14:schemeClr w14:val="tx1"/>
            </w14:solidFill>
          </w14:textFill>
        </w:rPr>
        <w:t>依法缴纳税收和社会保障资金的良好记录</w:t>
      </w:r>
      <w:r>
        <w:rPr>
          <w:rFonts w:hint="eastAsia" w:ascii="宋体" w:hAnsi="宋体" w:eastAsia="宋体" w:cs="宋体"/>
          <w:color w:val="000000" w:themeColor="text1"/>
          <w:kern w:val="0"/>
          <w:sz w:val="22"/>
          <w:szCs w:val="22"/>
          <w:highlight w:val="none"/>
          <w14:textFill>
            <w14:solidFill>
              <w14:schemeClr w14:val="tx1"/>
            </w14:solidFill>
          </w14:textFill>
        </w:rPr>
        <w:t>。如有虚假，采购人可取消我方任何资格（报价/中标/签订合同），我方对此无任何异议。</w:t>
      </w:r>
    </w:p>
    <w:p>
      <w:pPr>
        <w:widowControl/>
        <w:adjustRightInd w:val="0"/>
        <w:snapToGrid w:val="0"/>
        <w:spacing w:line="360" w:lineRule="auto"/>
        <w:ind w:firstLine="420"/>
        <w:jc w:val="lef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特此承诺！</w:t>
      </w:r>
    </w:p>
    <w:p>
      <w:pPr>
        <w:widowControl/>
        <w:adjustRightInd w:val="0"/>
        <w:snapToGrid w:val="0"/>
        <w:spacing w:line="360" w:lineRule="auto"/>
        <w:ind w:firstLine="420"/>
        <w:jc w:val="left"/>
        <w:rPr>
          <w:rFonts w:hint="eastAsia" w:ascii="宋体" w:hAnsi="宋体" w:eastAsia="宋体" w:cs="宋体"/>
          <w:color w:val="000000" w:themeColor="text1"/>
          <w:kern w:val="0"/>
          <w:sz w:val="22"/>
          <w:szCs w:val="22"/>
          <w:highlight w:val="none"/>
          <w14:textFill>
            <w14:solidFill>
              <w14:schemeClr w14:val="tx1"/>
            </w14:solidFill>
          </w14:textFill>
        </w:rPr>
      </w:pPr>
    </w:p>
    <w:p>
      <w:pPr>
        <w:widowControl/>
        <w:adjustRightInd w:val="0"/>
        <w:snapToGrid w:val="0"/>
        <w:spacing w:line="360" w:lineRule="auto"/>
        <w:ind w:firstLine="420"/>
        <w:jc w:val="lef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供应商名称（盖章） ：</w:t>
      </w:r>
    </w:p>
    <w:p>
      <w:pPr>
        <w:widowControl/>
        <w:adjustRightInd w:val="0"/>
        <w:snapToGrid w:val="0"/>
        <w:spacing w:line="360" w:lineRule="auto"/>
        <w:ind w:firstLine="420"/>
        <w:jc w:val="lef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法定代表人或其授权代表（签字或盖章）：</w:t>
      </w:r>
    </w:p>
    <w:p>
      <w:pPr>
        <w:widowControl/>
        <w:adjustRightInd w:val="0"/>
        <w:snapToGrid w:val="0"/>
        <w:spacing w:line="360" w:lineRule="auto"/>
        <w:ind w:firstLine="420"/>
        <w:jc w:val="left"/>
        <w:rPr>
          <w:rFonts w:hint="eastAsia" w:ascii="宋体" w:hAnsi="宋体" w:eastAsia="宋体" w:cs="宋体"/>
          <w:b/>
          <w:bCs/>
          <w:color w:val="000000" w:themeColor="text1"/>
          <w:sz w:val="22"/>
          <w:szCs w:val="22"/>
          <w:highlight w:val="none"/>
          <w:u w:val="thick"/>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日期：     年  月  日</w:t>
      </w:r>
    </w:p>
    <w:p>
      <w:pPr>
        <w:spacing w:line="400" w:lineRule="exact"/>
        <w:rPr>
          <w:rFonts w:hint="eastAsia" w:ascii="宋体" w:hAnsi="宋体" w:eastAsia="宋体" w:cs="宋体"/>
          <w:b/>
          <w:color w:val="000000" w:themeColor="text1"/>
          <w:sz w:val="22"/>
          <w:szCs w:val="22"/>
          <w:highlight w:val="none"/>
          <w14:textFill>
            <w14:solidFill>
              <w14:schemeClr w14:val="tx1"/>
            </w14:solidFill>
          </w14:textFill>
        </w:rPr>
      </w:pPr>
    </w:p>
    <w:p>
      <w:pPr>
        <w:tabs>
          <w:tab w:val="left" w:pos="0"/>
          <w:tab w:val="left" w:pos="600"/>
        </w:tabs>
        <w:spacing w:line="400" w:lineRule="exact"/>
        <w:jc w:val="center"/>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(6)参加采购、招报价等活动前三年内，在经营活动中没有重大违法记录和行贿记录的声明函</w:t>
      </w:r>
    </w:p>
    <w:p>
      <w:pPr>
        <w:widowControl/>
        <w:adjustRightInd w:val="0"/>
        <w:snapToGrid w:val="0"/>
        <w:spacing w:line="360" w:lineRule="auto"/>
        <w:ind w:firstLine="420"/>
        <w:jc w:val="left"/>
        <w:rPr>
          <w:rFonts w:hint="eastAsia" w:ascii="宋体" w:hAnsi="宋体" w:eastAsia="宋体" w:cs="宋体"/>
          <w:color w:val="000000" w:themeColor="text1"/>
          <w:kern w:val="0"/>
          <w:sz w:val="22"/>
          <w:szCs w:val="22"/>
          <w:highlight w:val="none"/>
          <w:u w:val="single"/>
          <w14:textFill>
            <w14:solidFill>
              <w14:schemeClr w14:val="tx1"/>
            </w14:solidFill>
          </w14:textFill>
        </w:rPr>
      </w:pPr>
    </w:p>
    <w:p>
      <w:pPr>
        <w:widowControl/>
        <w:adjustRightInd w:val="0"/>
        <w:snapToGrid w:val="0"/>
        <w:spacing w:line="360" w:lineRule="auto"/>
        <w:ind w:firstLine="420"/>
        <w:jc w:val="lef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u w:val="single"/>
          <w14:textFill>
            <w14:solidFill>
              <w14:schemeClr w14:val="tx1"/>
            </w14:solidFill>
          </w14:textFill>
        </w:rPr>
        <w:t>（采购人）</w:t>
      </w:r>
      <w:r>
        <w:rPr>
          <w:rFonts w:hint="eastAsia" w:ascii="宋体" w:hAnsi="宋体" w:eastAsia="宋体" w:cs="宋体"/>
          <w:color w:val="000000" w:themeColor="text1"/>
          <w:kern w:val="0"/>
          <w:sz w:val="22"/>
          <w:szCs w:val="22"/>
          <w:highlight w:val="none"/>
          <w14:textFill>
            <w14:solidFill>
              <w14:schemeClr w14:val="tx1"/>
            </w14:solidFill>
          </w14:textFill>
        </w:rPr>
        <w:t>：</w:t>
      </w:r>
    </w:p>
    <w:p>
      <w:pPr>
        <w:widowControl/>
        <w:adjustRightInd w:val="0"/>
        <w:snapToGrid w:val="0"/>
        <w:spacing w:line="360" w:lineRule="auto"/>
        <w:ind w:firstLine="420"/>
        <w:jc w:val="lef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我方</w:t>
      </w:r>
      <w:r>
        <w:rPr>
          <w:rFonts w:hint="eastAsia" w:ascii="宋体" w:hAnsi="宋体" w:eastAsia="宋体" w:cs="宋体"/>
          <w:color w:val="000000" w:themeColor="text1"/>
          <w:kern w:val="0"/>
          <w:sz w:val="22"/>
          <w:szCs w:val="22"/>
          <w:highlight w:val="none"/>
          <w:u w:val="single"/>
          <w14:textFill>
            <w14:solidFill>
              <w14:schemeClr w14:val="tx1"/>
            </w14:solidFill>
          </w14:textFill>
        </w:rPr>
        <w:t xml:space="preserve"> （供应商）</w:t>
      </w:r>
      <w:r>
        <w:rPr>
          <w:rFonts w:hint="eastAsia" w:ascii="宋体" w:hAnsi="宋体" w:eastAsia="宋体" w:cs="宋体"/>
          <w:color w:val="000000" w:themeColor="text1"/>
          <w:kern w:val="0"/>
          <w:sz w:val="22"/>
          <w:szCs w:val="22"/>
          <w:highlight w:val="none"/>
          <w14:textFill>
            <w14:solidFill>
              <w14:schemeClr w14:val="tx1"/>
            </w14:solidFill>
          </w14:textFill>
        </w:rPr>
        <w:t>具有良好的商业信誉，依法缴纳税收和社会保障资金，未被列入失信被执行人名单、重大税收违法案件当事人名单、政府采购严重违法失信行为记录名单，参加本次</w:t>
      </w: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国企</w:t>
      </w:r>
      <w:r>
        <w:rPr>
          <w:rFonts w:hint="eastAsia" w:ascii="宋体" w:hAnsi="宋体" w:eastAsia="宋体" w:cs="宋体"/>
          <w:color w:val="000000" w:themeColor="text1"/>
          <w:kern w:val="0"/>
          <w:sz w:val="22"/>
          <w:szCs w:val="22"/>
          <w:highlight w:val="none"/>
          <w14:textFill>
            <w14:solidFill>
              <w14:schemeClr w14:val="tx1"/>
            </w14:solidFill>
          </w14:textFill>
        </w:rPr>
        <w:t>采购活动前3年内在经营活动中没有重大违法记录和行贿记录（没有因违法经营受到刑事处罚，没有被责令停产停业、被吊销许可证或者执照、被处以较大数额罚款等行政处罚，没有因违法经营被禁止参加政府采购活动的期限未满情形）。如有虚假，采购人可取消我方任何资格（报价/中标/签订合同），我方对此无任何异议。</w:t>
      </w:r>
    </w:p>
    <w:p>
      <w:pPr>
        <w:widowControl/>
        <w:adjustRightInd w:val="0"/>
        <w:snapToGrid w:val="0"/>
        <w:spacing w:line="360" w:lineRule="auto"/>
        <w:ind w:firstLine="420"/>
        <w:jc w:val="lef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特此承诺！</w:t>
      </w:r>
    </w:p>
    <w:p>
      <w:pPr>
        <w:pStyle w:val="11"/>
        <w:spacing w:line="360" w:lineRule="auto"/>
        <w:rPr>
          <w:rFonts w:hint="eastAsia" w:ascii="宋体" w:hAnsi="宋体" w:eastAsia="宋体" w:cs="宋体"/>
          <w:color w:val="000000" w:themeColor="text1"/>
          <w:sz w:val="22"/>
          <w:szCs w:val="22"/>
          <w:highlight w:val="none"/>
          <w14:textFill>
            <w14:solidFill>
              <w14:schemeClr w14:val="tx1"/>
            </w14:solidFill>
          </w14:textFill>
        </w:rPr>
      </w:pPr>
    </w:p>
    <w:p>
      <w:pPr>
        <w:widowControl/>
        <w:adjustRightInd w:val="0"/>
        <w:snapToGrid w:val="0"/>
        <w:spacing w:line="360" w:lineRule="auto"/>
        <w:ind w:firstLine="420"/>
        <w:jc w:val="lef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供应商名称（盖章） ：</w:t>
      </w:r>
    </w:p>
    <w:p>
      <w:pPr>
        <w:widowControl/>
        <w:adjustRightInd w:val="0"/>
        <w:snapToGrid w:val="0"/>
        <w:spacing w:line="360" w:lineRule="auto"/>
        <w:ind w:firstLine="420"/>
        <w:jc w:val="lef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法定代表人或其授权代表（签字或盖章）：</w:t>
      </w:r>
    </w:p>
    <w:p>
      <w:pPr>
        <w:widowControl/>
        <w:adjustRightInd w:val="0"/>
        <w:snapToGrid w:val="0"/>
        <w:spacing w:line="360" w:lineRule="auto"/>
        <w:ind w:firstLine="420"/>
        <w:jc w:val="lef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日期：     年  月  日</w:t>
      </w:r>
    </w:p>
    <w:p>
      <w:pPr>
        <w:tabs>
          <w:tab w:val="left" w:pos="780"/>
        </w:tabs>
        <w:spacing w:line="400" w:lineRule="exact"/>
        <w:rPr>
          <w:rFonts w:hint="eastAsia" w:ascii="宋体" w:hAnsi="宋体" w:eastAsia="宋体" w:cs="宋体"/>
          <w:b/>
          <w:color w:val="000000" w:themeColor="text1"/>
          <w:sz w:val="22"/>
          <w:highlight w:val="none"/>
          <w14:textFill>
            <w14:solidFill>
              <w14:schemeClr w14:val="tx1"/>
            </w14:solidFill>
          </w14:textFill>
        </w:rPr>
      </w:pPr>
    </w:p>
    <w:p>
      <w:pPr>
        <w:rPr>
          <w:rFonts w:hint="eastAsia" w:ascii="宋体" w:hAnsi="宋体" w:eastAsia="宋体" w:cs="宋体"/>
          <w:color w:val="000000" w:themeColor="text1"/>
          <w:sz w:val="22"/>
          <w:szCs w:val="22"/>
          <w:highlight w:val="none"/>
          <w14:textFill>
            <w14:solidFill>
              <w14:schemeClr w14:val="tx1"/>
            </w14:solidFill>
          </w14:textFill>
        </w:rPr>
      </w:pPr>
    </w:p>
    <w:p>
      <w:pPr>
        <w:spacing w:line="400" w:lineRule="exact"/>
        <w:rPr>
          <w:rFonts w:hint="eastAsia" w:ascii="宋体" w:hAnsi="宋体" w:eastAsia="宋体" w:cs="宋体"/>
          <w:color w:val="000000" w:themeColor="text1"/>
          <w:highlight w:val="none"/>
          <w14:textFill>
            <w14:solidFill>
              <w14:schemeClr w14:val="tx1"/>
            </w14:solidFill>
          </w14:textFill>
        </w:rPr>
      </w:pPr>
    </w:p>
    <w:p>
      <w:pPr>
        <w:spacing w:line="400" w:lineRule="exact"/>
        <w:rPr>
          <w:rFonts w:hint="eastAsia" w:ascii="宋体" w:hAnsi="宋体" w:eastAsia="宋体" w:cs="宋体"/>
          <w:color w:val="000000" w:themeColor="text1"/>
          <w:highlight w:val="none"/>
          <w14:textFill>
            <w14:solidFill>
              <w14:schemeClr w14:val="tx1"/>
            </w14:solidFill>
          </w14:textFill>
        </w:rPr>
      </w:pPr>
    </w:p>
    <w:p>
      <w:pPr>
        <w:spacing w:line="400" w:lineRule="exact"/>
        <w:rPr>
          <w:rFonts w:hint="eastAsia" w:ascii="宋体" w:hAnsi="宋体" w:eastAsia="宋体" w:cs="宋体"/>
          <w:color w:val="000000" w:themeColor="text1"/>
          <w:highlight w:val="none"/>
          <w14:textFill>
            <w14:solidFill>
              <w14:schemeClr w14:val="tx1"/>
            </w14:solidFill>
          </w14:textFill>
        </w:rPr>
      </w:pPr>
      <w:bookmarkStart w:id="173" w:name="_Toc222114885"/>
      <w:bookmarkStart w:id="174" w:name="_Toc241404208"/>
      <w:bookmarkStart w:id="175" w:name="_Toc221423625"/>
      <w:bookmarkStart w:id="176" w:name="_Toc245722287"/>
      <w:bookmarkStart w:id="177" w:name="_Toc223716004"/>
      <w:bookmarkStart w:id="178" w:name="_Toc221356894"/>
      <w:bookmarkStart w:id="179" w:name="_Toc245191320"/>
      <w:bookmarkStart w:id="180" w:name="_Toc239145360"/>
      <w:bookmarkStart w:id="181" w:name="_Toc221374632"/>
      <w:bookmarkStart w:id="182" w:name="_Toc246261271"/>
      <w:bookmarkStart w:id="183" w:name="_Toc221356957"/>
    </w:p>
    <w:p>
      <w:pPr>
        <w:pStyle w:val="2"/>
        <w:rPr>
          <w:rFonts w:hint="eastAsia" w:ascii="宋体" w:hAnsi="宋体" w:eastAsia="宋体" w:cs="宋体"/>
          <w:color w:val="000000" w:themeColor="text1"/>
          <w:sz w:val="36"/>
          <w:szCs w:val="36"/>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br w:type="page"/>
      </w:r>
      <w:bookmarkStart w:id="184" w:name="_Toc249758871"/>
      <w:bookmarkStart w:id="185" w:name="_Toc262049425"/>
      <w:bookmarkStart w:id="186" w:name="_Toc49175242"/>
      <w:bookmarkStart w:id="187" w:name="_Toc249758721"/>
      <w:bookmarkStart w:id="188" w:name="_Toc262105510"/>
      <w:r>
        <w:rPr>
          <w:rFonts w:hint="eastAsia" w:ascii="宋体" w:hAnsi="宋体" w:eastAsia="宋体" w:cs="宋体"/>
          <w:color w:val="000000" w:themeColor="text1"/>
          <w:sz w:val="36"/>
          <w:szCs w:val="36"/>
          <w:highlight w:val="none"/>
          <w14:textFill>
            <w14:solidFill>
              <w14:schemeClr w14:val="tx1"/>
            </w14:solidFill>
          </w14:textFill>
        </w:rPr>
        <w:t>第四部分   采购内容及要求</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pPr>
        <w:autoSpaceDE w:val="0"/>
        <w:autoSpaceDN w:val="0"/>
        <w:adjustRightInd w:val="0"/>
        <w:snapToGrid w:val="0"/>
        <w:spacing w:line="460" w:lineRule="exact"/>
        <w:ind w:left="720"/>
        <w:textAlignment w:val="bottom"/>
        <w:rPr>
          <w:rStyle w:val="51"/>
          <w:rFonts w:hint="eastAsia" w:ascii="宋体" w:hAnsi="宋体" w:eastAsia="宋体" w:cs="宋体"/>
          <w:b/>
          <w:bCs/>
          <w:color w:val="000000" w:themeColor="text1"/>
          <w:sz w:val="22"/>
          <w:highlight w:val="none"/>
          <w14:textFill>
            <w14:solidFill>
              <w14:schemeClr w14:val="tx1"/>
            </w14:solidFill>
          </w14:textFill>
        </w:rPr>
      </w:pPr>
    </w:p>
    <w:p>
      <w:pPr>
        <w:pStyle w:val="2"/>
        <w:spacing w:line="440" w:lineRule="exact"/>
        <w:jc w:val="both"/>
        <w:rPr>
          <w:rFonts w:hint="eastAsia" w:ascii="宋体" w:hAnsi="宋体" w:eastAsia="宋体" w:cs="宋体"/>
          <w:b w:val="0"/>
          <w:bCs w:val="0"/>
          <w:color w:val="000000" w:themeColor="text1"/>
          <w:sz w:val="22"/>
          <w:szCs w:val="22"/>
          <w:highlight w:val="none"/>
          <w14:textFill>
            <w14:solidFill>
              <w14:schemeClr w14:val="tx1"/>
            </w14:solidFill>
          </w14:textFill>
        </w:rPr>
      </w:pPr>
      <w:bookmarkStart w:id="189" w:name="_Toc221374633"/>
      <w:bookmarkStart w:id="190" w:name="_Toc221356897"/>
      <w:bookmarkStart w:id="191" w:name="_Toc221356960"/>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一、项目清单</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5"/>
        <w:gridCol w:w="1125"/>
        <w:gridCol w:w="765"/>
        <w:gridCol w:w="765"/>
        <w:gridCol w:w="4828"/>
        <w:gridCol w:w="166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6" w:hRule="atLeast"/>
          <w:jc w:val="center"/>
        </w:trPr>
        <w:tc>
          <w:tcPr>
            <w:tcW w:w="357"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kern w:val="0"/>
                <w:sz w:val="22"/>
                <w:szCs w:val="22"/>
                <w:highlight w:val="none"/>
              </w:rPr>
            </w:pPr>
            <w:r>
              <w:rPr>
                <w:rFonts w:hint="eastAsia" w:ascii="宋体" w:hAnsi="宋体" w:eastAsia="宋体" w:cs="宋体"/>
                <w:b/>
                <w:bCs/>
                <w:kern w:val="0"/>
                <w:sz w:val="22"/>
                <w:szCs w:val="22"/>
                <w:highlight w:val="none"/>
              </w:rPr>
              <w:t>序号</w:t>
            </w:r>
          </w:p>
        </w:tc>
        <w:tc>
          <w:tcPr>
            <w:tcW w:w="570"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kern w:val="0"/>
                <w:sz w:val="22"/>
                <w:szCs w:val="22"/>
                <w:highlight w:val="none"/>
              </w:rPr>
            </w:pPr>
            <w:r>
              <w:rPr>
                <w:rFonts w:hint="eastAsia" w:ascii="宋体" w:hAnsi="宋体" w:eastAsia="宋体" w:cs="宋体"/>
                <w:b/>
                <w:bCs/>
                <w:kern w:val="0"/>
                <w:sz w:val="22"/>
                <w:szCs w:val="22"/>
                <w:highlight w:val="none"/>
              </w:rPr>
              <w:t>名称</w:t>
            </w:r>
          </w:p>
        </w:tc>
        <w:tc>
          <w:tcPr>
            <w:tcW w:w="388"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kern w:val="0"/>
                <w:sz w:val="22"/>
                <w:szCs w:val="22"/>
                <w:highlight w:val="none"/>
              </w:rPr>
            </w:pPr>
            <w:r>
              <w:rPr>
                <w:rFonts w:hint="eastAsia" w:ascii="宋体" w:hAnsi="宋体" w:eastAsia="宋体" w:cs="宋体"/>
                <w:b/>
                <w:bCs/>
                <w:kern w:val="0"/>
                <w:sz w:val="22"/>
                <w:szCs w:val="22"/>
                <w:highlight w:val="none"/>
              </w:rPr>
              <w:t>数量</w:t>
            </w:r>
          </w:p>
        </w:tc>
        <w:tc>
          <w:tcPr>
            <w:tcW w:w="388"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kern w:val="0"/>
                <w:sz w:val="22"/>
                <w:szCs w:val="22"/>
                <w:highlight w:val="none"/>
              </w:rPr>
            </w:pPr>
            <w:r>
              <w:rPr>
                <w:rFonts w:hint="eastAsia" w:ascii="宋体" w:hAnsi="宋体" w:eastAsia="宋体" w:cs="宋体"/>
                <w:b/>
                <w:bCs/>
                <w:kern w:val="0"/>
                <w:sz w:val="22"/>
                <w:szCs w:val="22"/>
                <w:highlight w:val="none"/>
              </w:rPr>
              <w:t>单位</w:t>
            </w:r>
          </w:p>
        </w:tc>
        <w:tc>
          <w:tcPr>
            <w:tcW w:w="2449" w:type="pct"/>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kern w:val="0"/>
                <w:sz w:val="22"/>
                <w:szCs w:val="22"/>
                <w:highlight w:val="none"/>
              </w:rPr>
            </w:pPr>
            <w:r>
              <w:rPr>
                <w:rFonts w:hint="eastAsia" w:ascii="宋体" w:hAnsi="宋体" w:eastAsia="宋体" w:cs="宋体"/>
                <w:b/>
                <w:bCs/>
                <w:kern w:val="0"/>
                <w:sz w:val="22"/>
                <w:szCs w:val="22"/>
                <w:highlight w:val="none"/>
              </w:rPr>
              <w:t>产品参数</w:t>
            </w:r>
          </w:p>
        </w:tc>
        <w:tc>
          <w:tcPr>
            <w:tcW w:w="845" w:type="pct"/>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kern w:val="0"/>
                <w:sz w:val="22"/>
                <w:szCs w:val="22"/>
                <w:highlight w:val="none"/>
                <w:lang w:val="en-US" w:eastAsia="zh-CN"/>
              </w:rPr>
            </w:pPr>
            <w:r>
              <w:rPr>
                <w:rFonts w:hint="eastAsia" w:ascii="宋体" w:hAnsi="宋体" w:eastAsia="宋体" w:cs="宋体"/>
                <w:b/>
                <w:bCs/>
                <w:kern w:val="0"/>
                <w:sz w:val="22"/>
                <w:szCs w:val="22"/>
                <w:highlight w:val="none"/>
                <w:lang w:val="en-US" w:eastAsia="zh-CN"/>
              </w:rPr>
              <w:t>产品功能描述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357"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1</w:t>
            </w:r>
          </w:p>
        </w:tc>
        <w:tc>
          <w:tcPr>
            <w:tcW w:w="570"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高清红外网络半球摄像机</w:t>
            </w:r>
          </w:p>
        </w:tc>
        <w:tc>
          <w:tcPr>
            <w:tcW w:w="388"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60</w:t>
            </w:r>
          </w:p>
        </w:tc>
        <w:tc>
          <w:tcPr>
            <w:tcW w:w="388"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台</w:t>
            </w:r>
          </w:p>
        </w:tc>
        <w:tc>
          <w:tcPr>
            <w:tcW w:w="2449" w:type="pct"/>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2"/>
                <w:szCs w:val="22"/>
                <w:highlight w:val="none"/>
              </w:rPr>
            </w:pPr>
            <w:r>
              <w:rPr>
                <w:rFonts w:hint="eastAsia" w:ascii="宋体" w:hAnsi="宋体" w:eastAsia="宋体" w:cs="宋体"/>
                <w:sz w:val="22"/>
                <w:szCs w:val="22"/>
                <w:highlight w:val="none"/>
              </w:rPr>
              <w:t>1. ★符合《国家教育考试网上巡查系统视频标准技术规范（2017版）》（JY/T-KS-JS-2017-1）规范；符合《公共安全视频监控联网信息安全技术要求》GB35114-2017标准；</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2. 嵌入式设备，具备实时操作系统；</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3. 采用超低照度200万(1920×1080) 像素，实为1/2.8英寸 CMOS图像传感器；</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4. 采用H.264 High profile编码；</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5. 支持三码流，ACF（活动帧率控制）；</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6. 最大支持128GB SD卡，支持录像断网续传功能；</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7. 支持设备认证功能、加密传输能力及数字水印加密，防数据被篡改；</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8. 支持宽动态、3D 降噪、强光抑制、走廊模式、去雾；</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9. 最大红外距离:≥50m；</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10.支持智能红外功能：当开启红外灯光功能后，能根据所射目标距离自动调节红外辐射功率；</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11.支持区域入侵，拌线入侵，物品遗留/消失，虚焦侦测，场景变更的侦测，并且可以与报警联动；</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12. 支持无SD卡、SD卡空间不足、SD卡出错、网络断开、IP冲突、移动检测、视频遮挡智能报警；</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13.★支持智能红外功能：当开启红外灯光功能后，能根据所射目标距离自动调节红外辐射功率，红外距离≥50米</w:t>
            </w:r>
            <w:r>
              <w:rPr>
                <w:rFonts w:hint="eastAsia" w:ascii="宋体" w:hAnsi="宋体" w:eastAsia="宋体" w:cs="宋体"/>
                <w:b/>
                <w:bCs/>
                <w:sz w:val="22"/>
                <w:szCs w:val="22"/>
                <w:highlight w:val="none"/>
              </w:rPr>
              <w:t>（须提供第三方检测报告复印件并加盖谈判供应商公章）</w:t>
            </w:r>
            <w:r>
              <w:rPr>
                <w:rFonts w:hint="eastAsia" w:ascii="宋体" w:hAnsi="宋体" w:eastAsia="宋体" w:cs="宋体"/>
                <w:sz w:val="22"/>
                <w:szCs w:val="22"/>
                <w:highlight w:val="none"/>
              </w:rPr>
              <w:t>；</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14.★支持根据热度信息生成热度图，并支持热度图导出</w:t>
            </w:r>
            <w:r>
              <w:rPr>
                <w:rFonts w:hint="eastAsia" w:ascii="宋体" w:hAnsi="宋体" w:eastAsia="宋体" w:cs="宋体"/>
                <w:b/>
                <w:bCs/>
                <w:sz w:val="22"/>
                <w:szCs w:val="22"/>
                <w:highlight w:val="none"/>
              </w:rPr>
              <w:t>（须提供第三方检测报告复印件并加盖谈判供应商公章）</w:t>
            </w:r>
            <w:r>
              <w:rPr>
                <w:rFonts w:hint="eastAsia" w:ascii="宋体" w:hAnsi="宋体" w:eastAsia="宋体" w:cs="宋体"/>
                <w:sz w:val="22"/>
                <w:szCs w:val="22"/>
                <w:highlight w:val="none"/>
              </w:rPr>
              <w:t>；</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15.★支持通过回放功能中按智能分析行为检索</w:t>
            </w:r>
            <w:r>
              <w:rPr>
                <w:rFonts w:hint="eastAsia" w:ascii="宋体" w:hAnsi="宋体" w:eastAsia="宋体" w:cs="宋体"/>
                <w:b/>
                <w:bCs/>
                <w:sz w:val="22"/>
                <w:szCs w:val="22"/>
                <w:highlight w:val="none"/>
              </w:rPr>
              <w:t>（须提供第三方检测报告复印件并加盖谈判供应商公章）</w:t>
            </w:r>
            <w:r>
              <w:rPr>
                <w:rFonts w:hint="eastAsia" w:ascii="宋体" w:hAnsi="宋体" w:eastAsia="宋体" w:cs="宋体"/>
                <w:sz w:val="22"/>
                <w:szCs w:val="22"/>
                <w:highlight w:val="none"/>
              </w:rPr>
              <w:t>；</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16.★支持宽动态，宽动态能力≥130</w:t>
            </w:r>
            <w:r>
              <w:rPr>
                <w:rFonts w:hint="eastAsia" w:ascii="宋体" w:hAnsi="宋体" w:eastAsia="宋体" w:cs="宋体"/>
                <w:b/>
                <w:bCs/>
                <w:sz w:val="22"/>
                <w:szCs w:val="22"/>
                <w:highlight w:val="none"/>
              </w:rPr>
              <w:t>（须提供第三方检测报告复印件并加盖谈判供应商公章）</w:t>
            </w:r>
            <w:r>
              <w:rPr>
                <w:rFonts w:hint="eastAsia" w:ascii="宋体" w:hAnsi="宋体" w:eastAsia="宋体" w:cs="宋体"/>
                <w:sz w:val="22"/>
                <w:szCs w:val="22"/>
                <w:highlight w:val="none"/>
              </w:rPr>
              <w:t>；</w:t>
            </w:r>
          </w:p>
        </w:tc>
        <w:tc>
          <w:tcPr>
            <w:tcW w:w="845" w:type="pct"/>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用于考场前端图像采集。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357"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2</w:t>
            </w:r>
          </w:p>
        </w:tc>
        <w:tc>
          <w:tcPr>
            <w:tcW w:w="570" w:type="pct"/>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拾音器</w:t>
            </w:r>
          </w:p>
        </w:tc>
        <w:tc>
          <w:tcPr>
            <w:tcW w:w="388"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59</w:t>
            </w:r>
          </w:p>
        </w:tc>
        <w:tc>
          <w:tcPr>
            <w:tcW w:w="388"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台</w:t>
            </w:r>
          </w:p>
        </w:tc>
        <w:tc>
          <w:tcPr>
            <w:tcW w:w="2449"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国家教育考试标准化考点扩容建设项目</w:t>
            </w:r>
            <w:r>
              <w:rPr>
                <w:rFonts w:hint="eastAsia" w:ascii="宋体" w:hAnsi="宋体" w:eastAsia="宋体" w:cs="宋体"/>
                <w:color w:val="000000"/>
                <w:sz w:val="22"/>
                <w:szCs w:val="22"/>
                <w:highlight w:val="none"/>
              </w:rPr>
              <w:br w:type="textWrapping"/>
            </w:r>
            <w:r>
              <w:rPr>
                <w:rFonts w:hint="eastAsia" w:ascii="宋体" w:hAnsi="宋体" w:eastAsia="宋体" w:cs="宋体"/>
                <w:color w:val="000000"/>
                <w:sz w:val="22"/>
                <w:szCs w:val="22"/>
                <w:highlight w:val="none"/>
              </w:rPr>
              <w:t>招标参数：</w:t>
            </w:r>
            <w:r>
              <w:rPr>
                <w:rFonts w:hint="eastAsia" w:ascii="宋体" w:hAnsi="宋体" w:eastAsia="宋体" w:cs="宋体"/>
                <w:color w:val="000000"/>
                <w:sz w:val="22"/>
                <w:szCs w:val="22"/>
                <w:highlight w:val="none"/>
              </w:rPr>
              <w:br w:type="textWrapping"/>
            </w:r>
            <w:r>
              <w:rPr>
                <w:rFonts w:hint="eastAsia" w:ascii="宋体" w:hAnsi="宋体" w:eastAsia="宋体" w:cs="宋体"/>
                <w:color w:val="000000"/>
                <w:sz w:val="22"/>
                <w:szCs w:val="22"/>
                <w:highlight w:val="none"/>
              </w:rPr>
              <w:t>1.采用高灵敏度全指向性驻极体电容咪头，防潮防尘网设计，低噪声高增益前置放大器，有效降低环境噪声。全面拾音，保真度高，回放的语音清晰、干净、低噪音；咪头经过防潮技术处理，寿命更长。自适应动态降噪处理单元，内置高速DSP数字信号处理器，有效调节信号强度，防止语音信号失真及衰减。内置自动识别噪声模块，最大限度降低环境噪音。自动抑制高强度声音，可靠保护后端音频监控设备。回声消除技术有效减少空旷房间的严重回音。</w:t>
            </w:r>
            <w:r>
              <w:rPr>
                <w:rFonts w:hint="eastAsia" w:ascii="宋体" w:hAnsi="宋体" w:eastAsia="宋体" w:cs="宋体"/>
                <w:color w:val="000000"/>
                <w:sz w:val="22"/>
                <w:szCs w:val="22"/>
                <w:highlight w:val="none"/>
              </w:rPr>
              <w:br w:type="textWrapping"/>
            </w:r>
            <w:r>
              <w:rPr>
                <w:rFonts w:hint="eastAsia" w:ascii="宋体" w:hAnsi="宋体" w:eastAsia="宋体" w:cs="宋体"/>
                <w:color w:val="000000"/>
                <w:sz w:val="22"/>
                <w:szCs w:val="22"/>
                <w:highlight w:val="none"/>
              </w:rPr>
              <w:t>2.输出阻抗：600Ω非平衡。</w:t>
            </w:r>
            <w:r>
              <w:rPr>
                <w:rFonts w:hint="eastAsia" w:ascii="宋体" w:hAnsi="宋体" w:eastAsia="宋体" w:cs="宋体"/>
                <w:color w:val="000000"/>
                <w:sz w:val="22"/>
                <w:szCs w:val="22"/>
                <w:highlight w:val="none"/>
              </w:rPr>
              <w:br w:type="textWrapping"/>
            </w:r>
            <w:r>
              <w:rPr>
                <w:rFonts w:hint="eastAsia" w:ascii="宋体" w:hAnsi="宋体" w:eastAsia="宋体" w:cs="宋体"/>
                <w:color w:val="000000"/>
                <w:sz w:val="22"/>
                <w:szCs w:val="22"/>
                <w:highlight w:val="none"/>
              </w:rPr>
              <w:t>3.工作电压：DC6～16V，采用单独的电源适配器供电，也可以和网络摄像机共用电源无噪声。</w:t>
            </w:r>
            <w:r>
              <w:rPr>
                <w:rFonts w:hint="eastAsia" w:ascii="宋体" w:hAnsi="宋体" w:eastAsia="宋体" w:cs="宋体"/>
                <w:color w:val="000000"/>
                <w:sz w:val="22"/>
                <w:szCs w:val="22"/>
                <w:highlight w:val="none"/>
              </w:rPr>
              <w:br w:type="textWrapping"/>
            </w:r>
            <w:r>
              <w:rPr>
                <w:rFonts w:hint="eastAsia" w:ascii="宋体" w:hAnsi="宋体" w:eastAsia="宋体" w:cs="宋体"/>
                <w:color w:val="000000"/>
                <w:sz w:val="22"/>
                <w:szCs w:val="22"/>
                <w:highlight w:val="none"/>
              </w:rPr>
              <w:t>4.灵敏度：-33.0dB～+10.0dB 可调(1Pa, 1KHz)</w:t>
            </w:r>
            <w:r>
              <w:rPr>
                <w:rFonts w:hint="eastAsia" w:ascii="宋体" w:hAnsi="宋体" w:eastAsia="宋体" w:cs="宋体"/>
                <w:color w:val="000000"/>
                <w:sz w:val="22"/>
                <w:szCs w:val="22"/>
                <w:highlight w:val="none"/>
              </w:rPr>
              <w:br w:type="textWrapping"/>
            </w:r>
            <w:r>
              <w:rPr>
                <w:rFonts w:hint="eastAsia" w:ascii="宋体" w:hAnsi="宋体" w:eastAsia="宋体" w:cs="宋体"/>
                <w:color w:val="000000"/>
                <w:sz w:val="22"/>
                <w:szCs w:val="22"/>
                <w:highlight w:val="none"/>
              </w:rPr>
              <w:t>5.频率范围：20Hz-20kHz。</w:t>
            </w:r>
            <w:r>
              <w:rPr>
                <w:rFonts w:hint="eastAsia" w:ascii="宋体" w:hAnsi="宋体" w:eastAsia="宋体" w:cs="宋体"/>
                <w:color w:val="000000"/>
                <w:sz w:val="22"/>
                <w:szCs w:val="22"/>
                <w:highlight w:val="none"/>
              </w:rPr>
              <w:br w:type="textWrapping"/>
            </w:r>
            <w:r>
              <w:rPr>
                <w:rFonts w:hint="eastAsia" w:ascii="宋体" w:hAnsi="宋体" w:eastAsia="宋体" w:cs="宋体"/>
                <w:color w:val="000000"/>
                <w:sz w:val="22"/>
                <w:szCs w:val="22"/>
                <w:highlight w:val="none"/>
              </w:rPr>
              <w:t>6.输出信号幅度：2.5Vpp/-35dB。</w:t>
            </w:r>
            <w:r>
              <w:rPr>
                <w:rFonts w:hint="eastAsia" w:ascii="宋体" w:hAnsi="宋体" w:eastAsia="宋体" w:cs="宋体"/>
                <w:color w:val="000000"/>
                <w:sz w:val="22"/>
                <w:szCs w:val="22"/>
                <w:highlight w:val="none"/>
              </w:rPr>
              <w:br w:type="textWrapping"/>
            </w:r>
            <w:r>
              <w:rPr>
                <w:rFonts w:hint="eastAsia" w:ascii="宋体" w:hAnsi="宋体" w:eastAsia="宋体" w:cs="宋体"/>
                <w:color w:val="000000"/>
                <w:sz w:val="22"/>
                <w:szCs w:val="22"/>
                <w:highlight w:val="none"/>
              </w:rPr>
              <w:t>7.信噪比：80dB （1米40 dB音源）40dB （10米40 dB音源）1KHz at 1 Pa。</w:t>
            </w:r>
            <w:r>
              <w:rPr>
                <w:rFonts w:hint="eastAsia" w:ascii="宋体" w:hAnsi="宋体" w:eastAsia="宋体" w:cs="宋体"/>
                <w:color w:val="000000"/>
                <w:sz w:val="22"/>
                <w:szCs w:val="22"/>
                <w:highlight w:val="none"/>
              </w:rPr>
              <w:br w:type="textWrapping"/>
            </w:r>
            <w:r>
              <w:rPr>
                <w:rFonts w:hint="eastAsia" w:ascii="宋体" w:hAnsi="宋体" w:eastAsia="宋体" w:cs="宋体"/>
                <w:color w:val="000000"/>
                <w:sz w:val="22"/>
                <w:szCs w:val="22"/>
                <w:highlight w:val="none"/>
              </w:rPr>
              <w:t>8.动态范围：＞104 dB（1kHz at Max dB SPL）。</w:t>
            </w:r>
            <w:r>
              <w:rPr>
                <w:rFonts w:hint="eastAsia" w:ascii="宋体" w:hAnsi="宋体" w:eastAsia="宋体" w:cs="宋体"/>
                <w:color w:val="000000"/>
                <w:sz w:val="22"/>
                <w:szCs w:val="22"/>
                <w:highlight w:val="none"/>
              </w:rPr>
              <w:br w:type="textWrapping"/>
            </w:r>
            <w:r>
              <w:rPr>
                <w:rFonts w:hint="eastAsia" w:ascii="宋体" w:hAnsi="宋体" w:eastAsia="宋体" w:cs="宋体"/>
                <w:color w:val="000000"/>
                <w:sz w:val="22"/>
                <w:szCs w:val="22"/>
                <w:highlight w:val="none"/>
              </w:rPr>
              <w:t>9.其它：监听面积：100㎡（自然发音，信噪比≥20dB），有效距离可手动调节。具有雷击保护、电源极性反接保护、ESD静电防护等。</w:t>
            </w:r>
            <w:r>
              <w:rPr>
                <w:rFonts w:hint="eastAsia" w:ascii="宋体" w:hAnsi="宋体" w:eastAsia="宋体" w:cs="宋体"/>
                <w:color w:val="000000"/>
                <w:sz w:val="22"/>
                <w:szCs w:val="22"/>
                <w:highlight w:val="none"/>
              </w:rPr>
              <w:br w:type="textWrapping"/>
            </w:r>
            <w:r>
              <w:rPr>
                <w:rFonts w:hint="eastAsia" w:ascii="宋体" w:hAnsi="宋体" w:eastAsia="宋体" w:cs="宋体"/>
                <w:color w:val="000000"/>
                <w:sz w:val="22"/>
                <w:szCs w:val="22"/>
                <w:highlight w:val="none"/>
              </w:rPr>
              <w:t>▲</w:t>
            </w:r>
            <w:r>
              <w:rPr>
                <w:rFonts w:hint="eastAsia" w:ascii="宋体" w:hAnsi="宋体" w:eastAsia="宋体" w:cs="宋体"/>
                <w:b/>
                <w:bCs/>
                <w:color w:val="000000"/>
                <w:sz w:val="22"/>
                <w:szCs w:val="22"/>
                <w:highlight w:val="none"/>
                <w:u w:val="single"/>
              </w:rPr>
              <w:t>10.内置混音器，多只拾音器级联分布式拾音，使拾音效果保真度更高。拾音器安装孔位和音量调节均在前面板，便于快速安装和调试。（提供产品彩页或官网截图证明并加盖制造商公章）</w:t>
            </w:r>
            <w:r>
              <w:rPr>
                <w:rFonts w:hint="eastAsia" w:ascii="宋体" w:hAnsi="宋体" w:eastAsia="宋体" w:cs="宋体"/>
                <w:color w:val="000000"/>
                <w:sz w:val="22"/>
                <w:szCs w:val="22"/>
                <w:highlight w:val="none"/>
              </w:rPr>
              <w:br w:type="textWrapping"/>
            </w:r>
            <w:r>
              <w:rPr>
                <w:rFonts w:hint="eastAsia" w:ascii="宋体" w:hAnsi="宋体" w:eastAsia="宋体" w:cs="宋体"/>
                <w:color w:val="000000"/>
                <w:sz w:val="22"/>
                <w:szCs w:val="22"/>
                <w:highlight w:val="none"/>
              </w:rPr>
              <w:t>▲</w:t>
            </w:r>
            <w:r>
              <w:rPr>
                <w:rFonts w:hint="eastAsia" w:ascii="宋体" w:hAnsi="宋体" w:eastAsia="宋体" w:cs="宋体"/>
                <w:b/>
                <w:bCs/>
                <w:color w:val="000000"/>
                <w:sz w:val="22"/>
                <w:szCs w:val="22"/>
                <w:highlight w:val="none"/>
                <w:u w:val="single"/>
              </w:rPr>
              <w:t>1</w:t>
            </w:r>
            <w:r>
              <w:rPr>
                <w:rFonts w:hint="eastAsia" w:ascii="宋体" w:hAnsi="宋体" w:eastAsia="宋体" w:cs="宋体"/>
                <w:b/>
                <w:bCs/>
                <w:color w:val="000000"/>
                <w:sz w:val="22"/>
                <w:szCs w:val="22"/>
                <w:highlight w:val="none"/>
                <w:u w:val="single"/>
                <w:lang w:val="en-US" w:eastAsia="zh-CN"/>
              </w:rPr>
              <w:t>1</w:t>
            </w:r>
            <w:r>
              <w:rPr>
                <w:rFonts w:hint="eastAsia" w:ascii="宋体" w:hAnsi="宋体" w:eastAsia="宋体" w:cs="宋体"/>
                <w:b/>
                <w:bCs/>
                <w:color w:val="000000"/>
                <w:sz w:val="22"/>
                <w:szCs w:val="22"/>
                <w:highlight w:val="none"/>
                <w:u w:val="single"/>
              </w:rPr>
              <w:t>. 在声级为40dB(A)的噪声环境下，拾音器距发音人6m处接收到的话音应清晰，且易于分辨；总谐波失真小于3%； 等效噪声级小于40dB。（须提供第三方检测报告复印件并加盖谈判供应商公章）</w:t>
            </w:r>
          </w:p>
        </w:tc>
        <w:tc>
          <w:tcPr>
            <w:tcW w:w="845"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用于采集考场音源，实现监控拾音。</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357"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3</w:t>
            </w:r>
          </w:p>
        </w:tc>
        <w:tc>
          <w:tcPr>
            <w:tcW w:w="570"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硬盘</w:t>
            </w:r>
          </w:p>
        </w:tc>
        <w:tc>
          <w:tcPr>
            <w:tcW w:w="388"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8</w:t>
            </w:r>
          </w:p>
        </w:tc>
        <w:tc>
          <w:tcPr>
            <w:tcW w:w="388"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块</w:t>
            </w:r>
          </w:p>
        </w:tc>
        <w:tc>
          <w:tcPr>
            <w:tcW w:w="2449"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接口类型 SATA接口、容量6TB、缓存 128MB、转速7200rpm</w:t>
            </w:r>
          </w:p>
        </w:tc>
        <w:tc>
          <w:tcPr>
            <w:tcW w:w="845"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用于服务器存储。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357"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4</w:t>
            </w:r>
          </w:p>
        </w:tc>
        <w:tc>
          <w:tcPr>
            <w:tcW w:w="570"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TF卡</w:t>
            </w:r>
          </w:p>
        </w:tc>
        <w:tc>
          <w:tcPr>
            <w:tcW w:w="388"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60</w:t>
            </w:r>
          </w:p>
        </w:tc>
        <w:tc>
          <w:tcPr>
            <w:tcW w:w="388"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张</w:t>
            </w:r>
          </w:p>
        </w:tc>
        <w:tc>
          <w:tcPr>
            <w:tcW w:w="2449"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内存容量: 64GB，读写速度: Class 10。</w:t>
            </w:r>
          </w:p>
        </w:tc>
        <w:tc>
          <w:tcPr>
            <w:tcW w:w="845"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用于视频前端储存。</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357"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5</w:t>
            </w:r>
          </w:p>
        </w:tc>
        <w:tc>
          <w:tcPr>
            <w:tcW w:w="570"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高清网络视频存储平台（64路）</w:t>
            </w:r>
          </w:p>
        </w:tc>
        <w:tc>
          <w:tcPr>
            <w:tcW w:w="388"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1</w:t>
            </w:r>
          </w:p>
        </w:tc>
        <w:tc>
          <w:tcPr>
            <w:tcW w:w="388"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台</w:t>
            </w:r>
          </w:p>
        </w:tc>
        <w:tc>
          <w:tcPr>
            <w:tcW w:w="2449"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1）★符合《国家教育考试网上巡查系统视频标准技术规范（2017版）》相关技术规范；</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2）支持嵌入式Linux系统，工业级嵌入式微控制器；</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3）支持WEB、本地GUI界面操作；</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4）支持IPv4、IPv6、HTTP、UPnP、NTP、SADP、SNMP、PPPoE、DNS、FTP、ONVIF（支持2.4版本）网络协议；</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5）8路支持最大8路网络视频接入，网络性能接入80Mbps，储存80Mbps，转发80Mbps；16路支持最大16路网络视频接入，网络性能接入160Mbps，储存160Mbps，转发160Mbps; 32路支持最大32路网络视频接入，网络性能接入320Mbps，储存320Mbps，转发320Mbps；64路支持最大64路网络视频接入，网络性能接入320Mbps，储存320Mbps，转发320Mbps；</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6）支持12M/4K/6M/5M/4M/3M/1080P/1.3M/720P IPC分辨率接入；</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7）支持2×12M/4×4K/6×5M/8×4M/11×3M/16×1080P/32×720P解码，最大支持8路视频回放；</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8）支持2路VGA输出，2路HDMI输出，支持VGA 1和HDMI 1同源输出，双HDMI 4K分辨率异源输出；</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9）支持8个内置SATA接口，单盘容量支持8T，可配置成单盘，支持Raid0、Raid1、Raid5、Raid6、Raid10、JBOD等各种数据保护模式；</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10）支持1个外置eSATA接口，用于录像和备份；</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11）支持IPC复合音频1路输入，支持语音对讲2路输出，支持PC通过存储设备与网络摄像机进行语音对讲；</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12）支持16路报警输入、6路报警输出，支持开关量输入输出模式；</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13）支持4个USB接口（2个前置USB2.0接口、2个后置USB3.0接口）；</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14）支持2个千兆以太网口，支持2个不同段IP地址的IPC设备接入，支持将双网口设置同一个IP地址，实现数据链路冗余；</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15）支持按时间、按事件等多种方式进行录像的检索、回放、备份，支持图片本地回放与查询；</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16）支持标签自定义功能，设备支持对指定时间的录像进行标签并归档，便于后续査看；</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17）支持硬盘、外接USB存储设备、DVD刻录等存储方式，支持U盘，eSATA方式，DVD刻录备份方式；</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18）支持设备操作日志、报警日志、系统日志的记录与查询功能；</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19）支持断网续传功能，能对前端摄像机断网这段时间内SD卡中的录像回传到存储设备；</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20）支持即时回放功能，在预览画面下回放指定通道的录像；</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21）支持预览图像与回放图像的电子放大；</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22）采用私有协议，可以通过鼠标控制云台转动、放大、定位等操作；</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23）支持远程管理IPC功能，支持对前端IPC远程升级，支持远程对IPC的编码配置修改等操作；</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24）支持远程零通道预览功能，可将接入的多路视频图像多画面显示在一路视频图像上；</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25）支持切片回放功能，将录像切片等分成若干段视频进行多路同时回放；</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26）支持盘组管理功能，实现视频录像的定向存储；</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27）支持鱼眼矫正功能，本地和web端在预览和回放模式下，支持对接入鱼眼视频以拼接的方式进行矫正功能；</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28）支持走廊模式功能，支持IPC画面旋转90°或270°，成9:16走廊模式；</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29）在正常工作条件下，设备能连续工作168h(小时)</w:t>
            </w:r>
            <w:r>
              <w:rPr>
                <w:rFonts w:hint="eastAsia" w:ascii="宋体" w:hAnsi="宋体" w:eastAsia="宋体" w:cs="宋体"/>
                <w:b/>
                <w:bCs/>
                <w:sz w:val="22"/>
                <w:szCs w:val="22"/>
                <w:highlight w:val="none"/>
              </w:rPr>
              <w:t>（须提供第三方检测报告复印件并加盖谈判供应商公章）</w:t>
            </w:r>
            <w:r>
              <w:rPr>
                <w:rFonts w:hint="eastAsia" w:ascii="宋体" w:hAnsi="宋体" w:eastAsia="宋体" w:cs="宋体"/>
                <w:sz w:val="22"/>
                <w:szCs w:val="22"/>
                <w:highlight w:val="none"/>
              </w:rPr>
              <w:t>。</w:t>
            </w:r>
          </w:p>
        </w:tc>
        <w:tc>
          <w:tcPr>
            <w:tcW w:w="845"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用于监控视频存储。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357"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6</w:t>
            </w:r>
          </w:p>
        </w:tc>
        <w:tc>
          <w:tcPr>
            <w:tcW w:w="570"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标考高清SIP网关平台</w:t>
            </w:r>
          </w:p>
        </w:tc>
        <w:tc>
          <w:tcPr>
            <w:tcW w:w="388"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1</w:t>
            </w:r>
          </w:p>
        </w:tc>
        <w:tc>
          <w:tcPr>
            <w:tcW w:w="388"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台</w:t>
            </w:r>
          </w:p>
        </w:tc>
        <w:tc>
          <w:tcPr>
            <w:tcW w:w="2449"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1.★符合《国家教育考试网上巡查系统视频标准技术规范（2017版）》相关技术规范；</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2.支持标准SIP2.0，支持SIP代理功能，信令转发和路由；</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3.支持统一管理接入的SIP终端，建立SIP网关间的信任关系；</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4.具备SIP URI地址解析，SIP URI统一命名规则、分级命名、联合定位，SIP URI组、用户、树形列表管理；</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5.支持NAT穿越控制，路由控制，支持硬件安全加密狗防护；</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6.支持向上级的主动注册与多级注册；</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7.支持多转发分布式部署协同工作，满足大路数高清视频流的转发需求；</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8.支持根据网络情况和使用需求，动态调整视频分辨率；</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9.支持设备/用户认证功能，视频访问呼叫过程及远程访问权限控制；</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10.★投标产品为嵌入式，具备实时操作系统，支持Linux系统、微软嵌入式系统</w:t>
            </w:r>
            <w:r>
              <w:rPr>
                <w:rFonts w:hint="eastAsia" w:ascii="宋体" w:hAnsi="宋体" w:eastAsia="宋体" w:cs="宋体"/>
                <w:b/>
                <w:bCs/>
                <w:sz w:val="22"/>
                <w:szCs w:val="22"/>
                <w:highlight w:val="none"/>
              </w:rPr>
              <w:t>（须提供第三方检测报告复印件并加盖谈判供应商公章）</w:t>
            </w:r>
            <w:r>
              <w:rPr>
                <w:rFonts w:hint="eastAsia" w:ascii="宋体" w:hAnsi="宋体" w:eastAsia="宋体" w:cs="宋体"/>
                <w:sz w:val="22"/>
                <w:szCs w:val="22"/>
                <w:highlight w:val="none"/>
              </w:rPr>
              <w:t>；</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11.★支持对上级平台、域名、端口、注册状态检测及诊断，支持系统内添加智能小工具，对所处网络进行网络测试</w:t>
            </w:r>
            <w:r>
              <w:rPr>
                <w:rFonts w:hint="eastAsia" w:ascii="宋体" w:hAnsi="宋体" w:eastAsia="宋体" w:cs="宋体"/>
                <w:b/>
                <w:bCs/>
                <w:sz w:val="22"/>
                <w:szCs w:val="22"/>
                <w:highlight w:val="none"/>
              </w:rPr>
              <w:t>（须提供第三方检测报告复印件并加盖谈判供应商公章）</w:t>
            </w:r>
            <w:r>
              <w:rPr>
                <w:rFonts w:hint="eastAsia" w:ascii="宋体" w:hAnsi="宋体" w:eastAsia="宋体" w:cs="宋体"/>
                <w:sz w:val="22"/>
                <w:szCs w:val="22"/>
                <w:highlight w:val="none"/>
              </w:rPr>
              <w:t>；</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12.★支持客户端与前端摄像机进行实时语音，云台控制（包含云台旋转、步长设置）及色彩参数设置</w:t>
            </w:r>
            <w:r>
              <w:rPr>
                <w:rFonts w:hint="eastAsia" w:ascii="宋体" w:hAnsi="宋体" w:eastAsia="宋体" w:cs="宋体"/>
                <w:b/>
                <w:bCs/>
                <w:sz w:val="22"/>
                <w:szCs w:val="22"/>
                <w:highlight w:val="none"/>
              </w:rPr>
              <w:t>（须提供第三方检测报告复印件并加盖谈判供应商公章）</w:t>
            </w:r>
            <w:r>
              <w:rPr>
                <w:rFonts w:hint="eastAsia" w:ascii="宋体" w:hAnsi="宋体" w:eastAsia="宋体" w:cs="宋体"/>
                <w:sz w:val="22"/>
                <w:szCs w:val="22"/>
                <w:highlight w:val="none"/>
              </w:rPr>
              <w:t>；</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13.★支持对SIP连接、认证状态实时追踪，支持SIP向上级的主动注册及同时向多个上级同时注册管理</w:t>
            </w:r>
            <w:r>
              <w:rPr>
                <w:rFonts w:hint="eastAsia" w:ascii="宋体" w:hAnsi="宋体" w:eastAsia="宋体" w:cs="宋体"/>
                <w:b/>
                <w:bCs/>
                <w:sz w:val="22"/>
                <w:szCs w:val="22"/>
                <w:highlight w:val="none"/>
              </w:rPr>
              <w:t>（须提供第三方检测报告复印件并加盖谈判供应商公章）</w:t>
            </w:r>
            <w:r>
              <w:rPr>
                <w:rFonts w:hint="eastAsia" w:ascii="宋体" w:hAnsi="宋体" w:eastAsia="宋体" w:cs="宋体"/>
                <w:sz w:val="22"/>
                <w:szCs w:val="22"/>
                <w:highlight w:val="none"/>
              </w:rPr>
              <w:t>；</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14.★支持对数据库进行测试，验证数据库配置正确性与连通状态，支持远维连接</w:t>
            </w:r>
            <w:r>
              <w:rPr>
                <w:rFonts w:hint="eastAsia" w:ascii="宋体" w:hAnsi="宋体" w:eastAsia="宋体" w:cs="宋体"/>
                <w:b/>
                <w:bCs/>
                <w:sz w:val="22"/>
                <w:szCs w:val="22"/>
                <w:highlight w:val="none"/>
              </w:rPr>
              <w:t>（须提供第三方检测报告复印件并加盖谈判供应商公章）</w:t>
            </w:r>
            <w:r>
              <w:rPr>
                <w:rFonts w:hint="eastAsia" w:ascii="宋体" w:hAnsi="宋体" w:eastAsia="宋体" w:cs="宋体"/>
                <w:sz w:val="22"/>
                <w:szCs w:val="22"/>
                <w:highlight w:val="none"/>
              </w:rPr>
              <w:t xml:space="preserve">；        </w:t>
            </w:r>
          </w:p>
        </w:tc>
        <w:tc>
          <w:tcPr>
            <w:tcW w:w="845"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用于网上巡查系统的统一设置和管理。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357"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7</w:t>
            </w:r>
          </w:p>
        </w:tc>
        <w:tc>
          <w:tcPr>
            <w:tcW w:w="570"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标考高清媒体转发平台</w:t>
            </w:r>
          </w:p>
        </w:tc>
        <w:tc>
          <w:tcPr>
            <w:tcW w:w="388"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1</w:t>
            </w:r>
          </w:p>
        </w:tc>
        <w:tc>
          <w:tcPr>
            <w:tcW w:w="388"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台</w:t>
            </w:r>
          </w:p>
        </w:tc>
        <w:tc>
          <w:tcPr>
            <w:tcW w:w="2449"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1.★符合《国家教育考试网上巡查系统视频标准技术规范（2017版）》相关技术规范；</w:t>
            </w:r>
            <w:r>
              <w:rPr>
                <w:rFonts w:hint="eastAsia" w:ascii="宋体" w:hAnsi="宋体" w:eastAsia="宋体" w:cs="宋体"/>
                <w:b/>
                <w:bCs/>
                <w:sz w:val="22"/>
                <w:szCs w:val="22"/>
                <w:highlight w:val="none"/>
              </w:rPr>
              <w:t>（须提供第三方检测报告复印件并加盖谈判供应商公章）</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2.采用嵌入式设备，实时操作系统；</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3.CPU处理性能不低于主频：3.0GHz，处理线程数量≥8，内存≥8GB（DDR4）；</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4.应具有≥2个10M/100M/1000M以太网接口,≥6个USB接口；</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5.需提供统一基础信息维护，支持教师、学生、教室、学校、学期、年级、班级、学科、教室流媒体设备等基础数据管理功能。</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★6.支持统一机构管理。用于管理学段、学期、班级、行政机构基本信息，以及相互之间关系的管理，同时包含班级、行政机构与用户之间的关联关系。支持启用/暂停学段，支持批量创建班级。</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7.支持统一行课管理。行课管理用于管理科目、节次、课表的基础信息和安排，教学科目支持自定义添加，支持节次方案管理，节次时间支持自定义设置。课表支持外部导入与数据对接等多种方式，支持导入后进行手工编辑，支持普通课表和走班课表管理。</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8.支持对场所设备的进行管理，支持符合《国家教育考试网上巡查系统视频标准技术规范》的设备接入。可以管理场所内的流媒体设备的信息维护，为其他系统的设备接入提供统一信息。</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9.支持视频多路复用、视频路由控制；</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★10.支持设置判断前端接入设备是否与服务器时间同步，并设置与上级服务器时间同步；</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11.★投标产品支持Linux系统、微软嵌入式系统</w:t>
            </w:r>
            <w:r>
              <w:rPr>
                <w:rFonts w:hint="eastAsia" w:ascii="宋体" w:hAnsi="宋体" w:eastAsia="宋体" w:cs="宋体"/>
                <w:b/>
                <w:bCs/>
                <w:i w:val="0"/>
                <w:iCs w:val="0"/>
                <w:sz w:val="22"/>
                <w:szCs w:val="22"/>
                <w:highlight w:val="none"/>
              </w:rPr>
              <w:t>（须提供第三方检测报告复印件并加盖谈判供应商公章）</w:t>
            </w:r>
            <w:r>
              <w:rPr>
                <w:rFonts w:hint="eastAsia" w:ascii="宋体" w:hAnsi="宋体" w:eastAsia="宋体" w:cs="宋体"/>
                <w:sz w:val="22"/>
                <w:szCs w:val="22"/>
                <w:highlight w:val="none"/>
              </w:rPr>
              <w:t>；</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★12.支持对前端巡查图像进行筛选，将未设置考场的图像进行屏蔽，不进行上传，只在本地监看；</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★13.能够在实时视频中构建3D图形，自动关联考生基本信息、考点考场信息、座次信息，准确定位并显示信息，并支持通过考生信息快速定位考生及考场；</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14.支持评估学校教师教学质量，教师可进行在线听课、评分，学校管理部门可在线安排听评课任务及管理听评课任务。</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15.支持学校教师自主学习，教师可在线申请听课，学校管理部门可以管理自主听课任务，查看自主听课情况。</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★16.支持学校管理课堂教学秩序，在线记录并统计课堂异常情况，学校管理部门可在线安排并管理巡课任务。</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★17.学校领导可随时查看课堂情况，系统需支持课堂抽查功能，校领导可从课堂排行榜、教师、教室、课程等多种维度进行课堂抽查，可同时查看其它管理人员对该课堂的评价并在线对课堂进行评价。</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18.为学校教师提升自我教学能力，系统需支持教师结合课堂评价重现自己教学课堂，在线编写自我教学反思。</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19.具有良好的扩展性，能够扩展接入身份验证、新高考走班排课等系统模块功能；</w:t>
            </w:r>
          </w:p>
        </w:tc>
        <w:tc>
          <w:tcPr>
            <w:tcW w:w="845"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rPr>
              <w:t>用于管理学段、学期、班级、行政机构基本信息，以及相互之间关系的管理，同时包含班级、行政机构与用户之间的关联关系。支持启用/暂停学段，支持批量创建班级。</w:t>
            </w:r>
            <w:r>
              <w:rPr>
                <w:rFonts w:hint="eastAsia" w:ascii="宋体" w:hAnsi="宋体" w:eastAsia="宋体" w:cs="宋体"/>
                <w:sz w:val="22"/>
                <w:szCs w:val="22"/>
                <w:highlight w:val="none"/>
              </w:rPr>
              <w:br w:type="textWrapp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357"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8</w:t>
            </w:r>
          </w:p>
        </w:tc>
        <w:tc>
          <w:tcPr>
            <w:tcW w:w="570"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电视墙服务器</w:t>
            </w:r>
          </w:p>
        </w:tc>
        <w:tc>
          <w:tcPr>
            <w:tcW w:w="388"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1</w:t>
            </w:r>
          </w:p>
        </w:tc>
        <w:tc>
          <w:tcPr>
            <w:tcW w:w="388"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台</w:t>
            </w:r>
          </w:p>
        </w:tc>
        <w:tc>
          <w:tcPr>
            <w:tcW w:w="2449"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 ★符合《国家教育考试网上巡查系统视频标准技术规范（2017版）》（JY/T-KS-JS-2017-1）技术规范；</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2. 支持H.265、H.264、MPEG4等格式的视频解码，支持MPEG LayerⅡ、G711a、G711u、AAC格式的音频解码，支持Program Stream（系统流）和Transition Stream（传输流）封装格式的视频流解码；</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4. 支持板卡热插拔，支持HDMI、DVI、VGA等多种接口类型板卡，支持板卡数量≥10块；</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5. 支持大屏拼接，支持开窗和漫游功能，单屏和融合窗口都支持1/4/9/16画面分割显示，单块板卡支持≥32个窗口；</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6. 保证解码效果，拼接屏各物理单元屏之间显示时差小于5ms，视频上墙延时小于92ms；</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7. 支持在单屏/拼接屏上显示文字，文字字体、颜色、字符间距、背景色和速度可调节；</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8. 单张编码卡支持不少于4路DVI（或者HDMI、VGA）视频输入接口；</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9. 单张解码卡不少于6路高清数字视频接口输出，支持D1、720P、1080p、4K解码输出，高清输出接口支持 4000×3000、3840×2160、1080P、@30Hz、1280*720@30Hz、1024*768@30Hz；</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10. ★采用嵌入式设备，Linux操作系统，采用模块化设计，并支持双风扇、双电源冗余设计</w:t>
            </w:r>
            <w:r>
              <w:rPr>
                <w:rFonts w:hint="eastAsia" w:ascii="宋体" w:hAnsi="宋体" w:eastAsia="宋体" w:cs="宋体"/>
                <w:b/>
                <w:bCs/>
                <w:sz w:val="22"/>
                <w:szCs w:val="22"/>
                <w:highlight w:val="none"/>
              </w:rPr>
              <w:t>（须提供第三方检测报告复印件并加盖谈判供应商公章）</w:t>
            </w:r>
            <w:r>
              <w:rPr>
                <w:rFonts w:hint="eastAsia" w:ascii="宋体" w:hAnsi="宋体" w:eastAsia="宋体" w:cs="宋体"/>
                <w:sz w:val="22"/>
                <w:szCs w:val="22"/>
                <w:highlight w:val="none"/>
              </w:rPr>
              <w:t>；</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11. ★具有移动侦测报警，报警时自动切换到对应视频通道，并可联动上墙</w:t>
            </w:r>
            <w:r>
              <w:rPr>
                <w:rFonts w:hint="eastAsia" w:ascii="宋体" w:hAnsi="宋体" w:eastAsia="宋体" w:cs="宋体"/>
                <w:b/>
                <w:bCs/>
                <w:sz w:val="22"/>
                <w:szCs w:val="22"/>
                <w:highlight w:val="none"/>
              </w:rPr>
              <w:t>（须提供第三方检测报告复印件并加盖谈判供应商公章）</w:t>
            </w:r>
            <w:r>
              <w:rPr>
                <w:rFonts w:hint="eastAsia" w:ascii="宋体" w:hAnsi="宋体" w:eastAsia="宋体" w:cs="宋体"/>
                <w:sz w:val="22"/>
                <w:szCs w:val="22"/>
                <w:highlight w:val="none"/>
              </w:rPr>
              <w:t>；</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12. ★支持实时监测设备运作情况，可在本地界面实时显示机箱温度、风扇转速、子板信息、电源模块信息、网络使用信息，发生IP/MAC地址冲突时，可在本地界面上进行提示</w:t>
            </w:r>
            <w:r>
              <w:rPr>
                <w:rFonts w:hint="eastAsia" w:ascii="宋体" w:hAnsi="宋体" w:eastAsia="宋体" w:cs="宋体"/>
                <w:b/>
                <w:bCs/>
                <w:sz w:val="22"/>
                <w:szCs w:val="22"/>
                <w:highlight w:val="none"/>
              </w:rPr>
              <w:t>（须提供第三方检测报告复印件并加盖谈判供应商公章）</w:t>
            </w:r>
            <w:r>
              <w:rPr>
                <w:rFonts w:hint="eastAsia" w:ascii="宋体" w:hAnsi="宋体" w:eastAsia="宋体" w:cs="宋体"/>
                <w:sz w:val="22"/>
                <w:szCs w:val="22"/>
                <w:highlight w:val="none"/>
              </w:rPr>
              <w:t>；</w:t>
            </w:r>
          </w:p>
        </w:tc>
        <w:tc>
          <w:tcPr>
            <w:tcW w:w="845"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用于将监控画面转接到大屏幕。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357"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9</w:t>
            </w:r>
          </w:p>
        </w:tc>
        <w:tc>
          <w:tcPr>
            <w:tcW w:w="570"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电视墙管理软件</w:t>
            </w:r>
          </w:p>
        </w:tc>
        <w:tc>
          <w:tcPr>
            <w:tcW w:w="388"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1</w:t>
            </w:r>
          </w:p>
        </w:tc>
        <w:tc>
          <w:tcPr>
            <w:tcW w:w="388"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套</w:t>
            </w:r>
          </w:p>
        </w:tc>
        <w:tc>
          <w:tcPr>
            <w:tcW w:w="2449"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1.符合《国家教育考试网上巡查系统视频标准技术规范（2017版）》相关技术规范；</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2.支持独立轮巡和组合轮巡；</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3.分屏模式：支持电视墙管理平台分屏模式包括1分屏、4分屏、9分屏、16分屏；</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4.画面轮巡：支持电视墙服务器设置多种自定义的巡查轮巡；支持电视墙管理平台多种自定义的巡查轮巡设置；</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5.轮巡模式：独立轮巡和组合轮巡，同步轮巡和异步轮巡，定点轮巡和定长轮巡；</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6.方案控制：支持控制电视墙服务器拉取图像和载入与保存方案等功能，可支持多种不同方案;支持电视墙管理平台拉取不同巡查图像，并设置巡查轮巡、屏幕融合、屏幕分割模式方案的功能；</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7.云台控制：可支持巡查云台设置方向、焦距、步长、自动旋转、左右边界以及预置点等功能；</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8.大屏融合：支持控制电视墙管理平台可进行屏幕随意排列融合大屏；</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9.报警功能：具有视频丢失检测报警，系统自诊断功能和网络中断报警，电视墙主机可以接收到平台发出的各种报警信息，进行上墙以及弹窗提示；支持报警联动；</w:t>
            </w:r>
          </w:p>
        </w:tc>
        <w:tc>
          <w:tcPr>
            <w:tcW w:w="845"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控制电视墙开关、轮训、左右边界等。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516" w:hRule="atLeast"/>
          <w:jc w:val="center"/>
        </w:trPr>
        <w:tc>
          <w:tcPr>
            <w:tcW w:w="357"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10</w:t>
            </w:r>
          </w:p>
        </w:tc>
        <w:tc>
          <w:tcPr>
            <w:tcW w:w="570"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2"/>
                <w:szCs w:val="22"/>
                <w:highlight w:val="none"/>
                <w:lang w:val="en-US" w:eastAsia="zh-CN" w:bidi="ar-SA"/>
              </w:rPr>
            </w:pPr>
            <w:r>
              <w:rPr>
                <w:rFonts w:hint="eastAsia" w:ascii="宋体" w:hAnsi="宋体" w:eastAsia="宋体" w:cs="宋体"/>
                <w:kern w:val="0"/>
                <w:sz w:val="22"/>
                <w:szCs w:val="22"/>
                <w:highlight w:val="none"/>
              </w:rPr>
              <w:t>核心交换机</w:t>
            </w:r>
          </w:p>
        </w:tc>
        <w:tc>
          <w:tcPr>
            <w:tcW w:w="388"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2"/>
                <w:szCs w:val="22"/>
                <w:highlight w:val="none"/>
                <w:lang w:val="en-US" w:eastAsia="zh-CN" w:bidi="ar-SA"/>
              </w:rPr>
            </w:pPr>
            <w:r>
              <w:rPr>
                <w:rFonts w:hint="eastAsia" w:ascii="宋体" w:hAnsi="宋体" w:eastAsia="宋体" w:cs="宋体"/>
                <w:kern w:val="0"/>
                <w:sz w:val="22"/>
                <w:szCs w:val="22"/>
                <w:highlight w:val="none"/>
              </w:rPr>
              <w:t>1</w:t>
            </w:r>
          </w:p>
        </w:tc>
        <w:tc>
          <w:tcPr>
            <w:tcW w:w="388" w:type="pct"/>
            <w:shd w:val="clear" w:color="000000" w:fill="FFFFFF"/>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2"/>
                <w:szCs w:val="22"/>
                <w:highlight w:val="none"/>
                <w:lang w:val="en-US" w:eastAsia="zh-CN" w:bidi="ar-SA"/>
              </w:rPr>
            </w:pPr>
            <w:r>
              <w:rPr>
                <w:rFonts w:hint="eastAsia" w:ascii="宋体" w:hAnsi="宋体" w:eastAsia="宋体" w:cs="宋体"/>
                <w:kern w:val="0"/>
                <w:sz w:val="22"/>
                <w:szCs w:val="22"/>
                <w:highlight w:val="none"/>
              </w:rPr>
              <w:t>台</w:t>
            </w:r>
          </w:p>
        </w:tc>
        <w:tc>
          <w:tcPr>
            <w:tcW w:w="2449" w:type="pct"/>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2"/>
                <w:szCs w:val="22"/>
                <w:highlight w:val="none"/>
                <w:lang w:val="en-US" w:eastAsia="zh-CN" w:bidi="ar-SA"/>
              </w:rPr>
            </w:pPr>
            <w:r>
              <w:rPr>
                <w:rFonts w:hint="eastAsia" w:ascii="宋体" w:hAnsi="宋体" w:eastAsia="宋体" w:cs="宋体"/>
                <w:sz w:val="22"/>
                <w:szCs w:val="22"/>
                <w:highlight w:val="none"/>
              </w:rPr>
              <w:t>设备性能：交换容量≥730Gbps，转发性能≥220Mpps，若存在双指标，则以较小的指标为准；提供官网截图；</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配置要求：24个10/100/1000Base-T自适应以太网端口（其中8个是combo口），4个万兆SFP+口； 模块化双电源；模块化双风扇，前/后通风，风道可调；</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★扩展插槽：为保障未来园区链路升级，支持≥1个扩展插槽，支持ALL IN ONE插卡；支持扩展1/2.5/5/10G BASE-T 以太网电接口、25G SFP28端口、40GE QSFP+接口，提供官网链接及选配信息截图证明；</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 xml:space="preserve">VXLAN：支持创新的VxLAN技术，可以同时支持VxLAN二三层网关，提供官网截图和链接； </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★开放多业务架构：支持集成包括FW，IPS、负载均衡等高性能OAP模块插卡。提供官网截图和链接；</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支持安全插卡功能，通过设备的测试流量可以引导向安全插卡，经过安全插卡的安全策略过滤后继续转发。</w:t>
            </w:r>
            <w:r>
              <w:rPr>
                <w:rFonts w:hint="eastAsia" w:ascii="宋体" w:hAnsi="宋体" w:eastAsia="宋体" w:cs="宋体"/>
                <w:b/>
                <w:bCs/>
                <w:sz w:val="22"/>
                <w:szCs w:val="22"/>
                <w:highlight w:val="none"/>
              </w:rPr>
              <w:t>（须提供第三方检测报告复印件并加盖谈判供应商公章）</w:t>
            </w:r>
            <w:r>
              <w:rPr>
                <w:rFonts w:hint="eastAsia" w:ascii="宋体" w:hAnsi="宋体" w:eastAsia="宋体" w:cs="宋体"/>
                <w:b/>
                <w:bCs/>
                <w:sz w:val="22"/>
                <w:szCs w:val="22"/>
                <w:highlight w:val="none"/>
                <w:lang w:eastAsia="zh-CN"/>
              </w:rPr>
              <w:t>；</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路由协议：支持IPv4静态路由、RIP V1/V2、OSPF、BGP；支持IPv6静态路由、RIPng、OSPFv3、BGP4+；</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无线功能：集成无线控制功能，实现接入层无线/有线本地转发，消除无线控制带宽瓶颈，扩大无线部署规模，节省用户投资成本，提供官网清晰截图和链接；</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智能管理中心：为方便运维，要求集成或配置智能运维软件，提供一站式智能运维界面，通过智能运维门户可以提供向导式的网络运维，设备管理、故障排查、维护大全、控制台等功能；</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硬件加密：硬件支持MACsec安全加密功能，包括报文加密，防重放攻击，防篡改等；提供官网截图和链接；</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管理和维护：支持SNMP V1/V2/V3、RMON、SSHV2；支持OAM(802.1AG， 802.3AH)以太网运行、维护和管理标准；</w:t>
            </w:r>
          </w:p>
        </w:tc>
        <w:tc>
          <w:tcPr>
            <w:tcW w:w="845"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用于网络转接。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57"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2"/>
                <w:szCs w:val="22"/>
                <w:highlight w:val="none"/>
                <w:lang w:val="en-US" w:eastAsia="zh-CN" w:bidi="ar-SA"/>
              </w:rPr>
            </w:pPr>
            <w:r>
              <w:rPr>
                <w:rFonts w:hint="eastAsia" w:ascii="宋体" w:hAnsi="宋体" w:eastAsia="宋体" w:cs="宋体"/>
                <w:kern w:val="0"/>
                <w:sz w:val="22"/>
                <w:szCs w:val="22"/>
                <w:highlight w:val="none"/>
              </w:rPr>
              <w:t>11</w:t>
            </w:r>
          </w:p>
        </w:tc>
        <w:tc>
          <w:tcPr>
            <w:tcW w:w="570"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2"/>
                <w:szCs w:val="22"/>
                <w:highlight w:val="none"/>
                <w:lang w:val="en-US" w:eastAsia="zh-CN" w:bidi="ar-SA"/>
              </w:rPr>
            </w:pPr>
            <w:r>
              <w:rPr>
                <w:rFonts w:hint="eastAsia" w:ascii="宋体" w:hAnsi="宋体" w:eastAsia="宋体" w:cs="宋体"/>
                <w:kern w:val="0"/>
                <w:sz w:val="22"/>
                <w:szCs w:val="22"/>
                <w:highlight w:val="none"/>
              </w:rPr>
              <w:t>楼道接入交换机(24口)</w:t>
            </w:r>
          </w:p>
        </w:tc>
        <w:tc>
          <w:tcPr>
            <w:tcW w:w="388"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2"/>
                <w:szCs w:val="22"/>
                <w:highlight w:val="none"/>
                <w:lang w:val="en-US" w:eastAsia="zh-CN" w:bidi="ar-SA"/>
              </w:rPr>
            </w:pPr>
            <w:r>
              <w:rPr>
                <w:rFonts w:hint="eastAsia" w:ascii="宋体" w:hAnsi="宋体" w:eastAsia="宋体" w:cs="宋体"/>
                <w:kern w:val="0"/>
                <w:sz w:val="22"/>
                <w:szCs w:val="22"/>
                <w:highlight w:val="none"/>
              </w:rPr>
              <w:t>6</w:t>
            </w:r>
          </w:p>
        </w:tc>
        <w:tc>
          <w:tcPr>
            <w:tcW w:w="388"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2"/>
                <w:szCs w:val="22"/>
                <w:highlight w:val="none"/>
                <w:lang w:val="en-US" w:eastAsia="zh-CN" w:bidi="ar-SA"/>
              </w:rPr>
            </w:pPr>
            <w:r>
              <w:rPr>
                <w:rFonts w:hint="eastAsia" w:ascii="宋体" w:hAnsi="宋体" w:eastAsia="宋体" w:cs="宋体"/>
                <w:kern w:val="0"/>
                <w:sz w:val="22"/>
                <w:szCs w:val="22"/>
                <w:highlight w:val="none"/>
              </w:rPr>
              <w:t>台</w:t>
            </w:r>
          </w:p>
        </w:tc>
        <w:tc>
          <w:tcPr>
            <w:tcW w:w="2449"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rPr>
              <w:t>1、性能要求： 交换容量≥330Gbps，包转发率≥95Mpps，若存在双指标，则以较小的指标为准；提供官网截图；</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2、配置要求： 固化≥4个千兆光口，≥24个千兆电口；</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3、虚拟化：可实现9台交换机连接，形成一个逻辑上的独立实体，从而构建具备高可靠性、易扩展性和易管理性的新型智能网络，提供官网截图；</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4、链路可靠性：支持ERPS功能，实现快速阻断环路，链路收敛时间≤50ms，提供工信部权威测试报告；</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5、绿色节能：采用绿色节能设计，支持IEEE 802.3az（EEE）节能功能，提供官网截图；</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6、防雷：为保证设备的可靠性，要求业务端口内置10KV防雷能力，提供官网截图；</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7、管理工具配置：为方便运维，要求集成或配置智能运维软件,标配500个网络设备授权；提供一站式智能运维界面，通过智能运维门户可以提供向导式的网络运维，设备管理、故障排查、维护大全、控制台等功能，提供软件功能截图；</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8、公有云平台：设备支持与无线公有云平台连接管理，具备蓝牙连接管理功能，提供工信部权威测试报告；</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9、兼容性：为方便后期统一运维和管理，要求与核心交换机同一品牌；</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10、入网证：提供工信部入网证书，要求提供厂商CMMI5证书；</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11、服务要求：要求厂家在温州本地提供备件库，提供原厂三年质保。</w:t>
            </w:r>
          </w:p>
        </w:tc>
        <w:tc>
          <w:tcPr>
            <w:tcW w:w="845"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用于楼道间网络转接。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57"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2"/>
                <w:szCs w:val="22"/>
                <w:highlight w:val="none"/>
                <w:lang w:val="en-US" w:eastAsia="zh-CN" w:bidi="ar-SA"/>
              </w:rPr>
            </w:pPr>
            <w:r>
              <w:rPr>
                <w:rFonts w:hint="eastAsia" w:ascii="宋体" w:hAnsi="宋体" w:eastAsia="宋体" w:cs="宋体"/>
                <w:kern w:val="0"/>
                <w:sz w:val="22"/>
                <w:szCs w:val="22"/>
                <w:highlight w:val="none"/>
              </w:rPr>
              <w:t>12</w:t>
            </w:r>
          </w:p>
        </w:tc>
        <w:tc>
          <w:tcPr>
            <w:tcW w:w="570"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2"/>
                <w:szCs w:val="22"/>
                <w:highlight w:val="none"/>
                <w:lang w:val="en-US" w:eastAsia="zh-CN" w:bidi="ar-SA"/>
              </w:rPr>
            </w:pPr>
            <w:r>
              <w:rPr>
                <w:rFonts w:hint="eastAsia" w:ascii="宋体" w:hAnsi="宋体" w:eastAsia="宋体" w:cs="宋体"/>
                <w:kern w:val="0"/>
                <w:sz w:val="22"/>
                <w:szCs w:val="22"/>
                <w:highlight w:val="none"/>
              </w:rPr>
              <w:t>光模块</w:t>
            </w:r>
          </w:p>
        </w:tc>
        <w:tc>
          <w:tcPr>
            <w:tcW w:w="388"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2"/>
                <w:szCs w:val="22"/>
                <w:highlight w:val="none"/>
                <w:lang w:val="en-US" w:eastAsia="zh-CN" w:bidi="ar-SA"/>
              </w:rPr>
            </w:pPr>
            <w:r>
              <w:rPr>
                <w:rFonts w:hint="eastAsia" w:ascii="宋体" w:hAnsi="宋体" w:eastAsia="宋体" w:cs="宋体"/>
                <w:kern w:val="0"/>
                <w:sz w:val="22"/>
                <w:szCs w:val="22"/>
                <w:highlight w:val="none"/>
              </w:rPr>
              <w:t>4</w:t>
            </w:r>
          </w:p>
        </w:tc>
        <w:tc>
          <w:tcPr>
            <w:tcW w:w="388"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2"/>
                <w:szCs w:val="22"/>
                <w:highlight w:val="none"/>
                <w:lang w:val="en-US" w:eastAsia="zh-CN" w:bidi="ar-SA"/>
              </w:rPr>
            </w:pPr>
            <w:r>
              <w:rPr>
                <w:rFonts w:hint="eastAsia" w:ascii="宋体" w:hAnsi="宋体" w:eastAsia="宋体" w:cs="宋体"/>
                <w:kern w:val="0"/>
                <w:sz w:val="22"/>
                <w:szCs w:val="22"/>
                <w:highlight w:val="none"/>
              </w:rPr>
              <w:t>块</w:t>
            </w:r>
          </w:p>
        </w:tc>
        <w:tc>
          <w:tcPr>
            <w:tcW w:w="2449"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rPr>
              <w:t>千兆单模SFP光模块，波长1310nm，最大传输距离10km</w:t>
            </w:r>
          </w:p>
        </w:tc>
        <w:tc>
          <w:tcPr>
            <w:tcW w:w="845"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用于光纤传输。</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516" w:hRule="atLeast"/>
          <w:jc w:val="center"/>
        </w:trPr>
        <w:tc>
          <w:tcPr>
            <w:tcW w:w="357"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2"/>
                <w:szCs w:val="22"/>
                <w:highlight w:val="none"/>
                <w:lang w:val="en-US" w:eastAsia="zh-CN" w:bidi="ar-SA"/>
              </w:rPr>
            </w:pPr>
            <w:r>
              <w:rPr>
                <w:rFonts w:hint="eastAsia" w:ascii="宋体" w:hAnsi="宋体" w:eastAsia="宋体" w:cs="宋体"/>
                <w:kern w:val="0"/>
                <w:sz w:val="22"/>
                <w:szCs w:val="22"/>
                <w:highlight w:val="none"/>
              </w:rPr>
              <w:t>13</w:t>
            </w:r>
          </w:p>
        </w:tc>
        <w:tc>
          <w:tcPr>
            <w:tcW w:w="570"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2"/>
                <w:szCs w:val="22"/>
                <w:highlight w:val="none"/>
                <w:lang w:val="en-US" w:eastAsia="zh-CN" w:bidi="ar-SA"/>
              </w:rPr>
            </w:pPr>
            <w:r>
              <w:rPr>
                <w:rFonts w:hint="eastAsia" w:ascii="宋体" w:hAnsi="宋体" w:eastAsia="宋体" w:cs="宋体"/>
                <w:kern w:val="0"/>
                <w:sz w:val="22"/>
                <w:szCs w:val="22"/>
                <w:highlight w:val="none"/>
              </w:rPr>
              <w:t>6KVA UPS电源</w:t>
            </w:r>
          </w:p>
        </w:tc>
        <w:tc>
          <w:tcPr>
            <w:tcW w:w="388"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2"/>
                <w:szCs w:val="22"/>
                <w:highlight w:val="none"/>
                <w:lang w:val="en-US" w:eastAsia="zh-CN" w:bidi="ar-SA"/>
              </w:rPr>
            </w:pPr>
            <w:r>
              <w:rPr>
                <w:rFonts w:hint="eastAsia" w:ascii="宋体" w:hAnsi="宋体" w:eastAsia="宋体" w:cs="宋体"/>
                <w:kern w:val="0"/>
                <w:sz w:val="22"/>
                <w:szCs w:val="22"/>
                <w:highlight w:val="none"/>
              </w:rPr>
              <w:t>1</w:t>
            </w:r>
          </w:p>
        </w:tc>
        <w:tc>
          <w:tcPr>
            <w:tcW w:w="388"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2"/>
                <w:szCs w:val="22"/>
                <w:highlight w:val="none"/>
                <w:lang w:val="en-US" w:eastAsia="zh-CN" w:bidi="ar-SA"/>
              </w:rPr>
            </w:pPr>
            <w:r>
              <w:rPr>
                <w:rFonts w:hint="eastAsia" w:ascii="宋体" w:hAnsi="宋体" w:eastAsia="宋体" w:cs="宋体"/>
                <w:kern w:val="0"/>
                <w:sz w:val="22"/>
                <w:szCs w:val="22"/>
                <w:highlight w:val="none"/>
              </w:rPr>
              <w:t>套</w:t>
            </w:r>
          </w:p>
        </w:tc>
        <w:tc>
          <w:tcPr>
            <w:tcW w:w="2449"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rPr>
              <w:t>1.容量及规格6KVA/5400KW</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2.内部配件配置整流器、逆变器、充电器以及与背板连接的输入输出电池断路器，模块化设计，可热插拔</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3.系统模块化设计由两块冗余的可热插拔的控制模块来完成对系统的控制管理。一个控制模块故障不会影响到系统的正常工作。控制模块可在线热插拔更换。</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4.静态旁路模块设计采用多个静态旁路结构，以避免转旁路时的多个旁路不均流而造成的过载损坏。</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5.输入电压380V/220V通用</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6.电池放电保护功能根据自动计算出的放电曲线，自动断开电池电路断路器，防止深度放电</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7.逆变器架构IGBT脉宽调制，含输出隔离变压器</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8.输入频率范围50Hz/60Hz±5%</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9.软启动0~100%5sec</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10.逆变器效率满载＞90％</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11.市电功率因数＞0.99</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12.逆变器过载能力125%维持10分钟，150%维持1分钟</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13.不平衡带载能力适应100％三相不平衡带载</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14.输出频率40Hz-70Hz±0.5Hz（电池供电）可在屏幕上在线手动调节设置</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15.额定功率标准功率×0.9</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16.输出电压交流220V，</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17.转换时间0ms</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18.通讯接口RS232.USB(485.网络远程监控 选件)</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19.DC电压16/18/20节，可调</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20.防雷保护标准内置防雷模块</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21.智能维护可以在线插拔维护更换配件</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22.安全功能输入输出错接,电池反接错误保护，整机采用6个温度检知传感,具备预警功能</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23屏幕功能通过中文菜单操作，可设置发电机模式下是否充电，可设置整流器缓启20-60秒，智能风扇运行寿命提示。</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24.质量证明提供原厂三年免费上门服务维护质保证明。                                            25.智能精密维护系统旁路柜含系统总输入开关、UPS输入开关、输出开关、维修旁路开关，检测电路主板，开关通讯模块、RS232接口模块、RJ45网卡模块、直流开关、系统启动开关，三相输入输出的电压和电流传感器组件，中线电流、地线电流传感器，</w:t>
            </w:r>
          </w:p>
        </w:tc>
        <w:tc>
          <w:tcPr>
            <w:tcW w:w="845"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用于断电保护。</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357"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rPr>
              <w:t>1</w:t>
            </w:r>
            <w:r>
              <w:rPr>
                <w:rFonts w:hint="eastAsia" w:ascii="宋体" w:hAnsi="宋体" w:eastAsia="宋体" w:cs="宋体"/>
                <w:kern w:val="0"/>
                <w:sz w:val="22"/>
                <w:szCs w:val="22"/>
                <w:highlight w:val="none"/>
                <w:lang w:val="en-US" w:eastAsia="zh-CN"/>
              </w:rPr>
              <w:t>4</w:t>
            </w:r>
          </w:p>
        </w:tc>
        <w:tc>
          <w:tcPr>
            <w:tcW w:w="570"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蓄电池</w:t>
            </w:r>
          </w:p>
        </w:tc>
        <w:tc>
          <w:tcPr>
            <w:tcW w:w="388"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16</w:t>
            </w:r>
          </w:p>
        </w:tc>
        <w:tc>
          <w:tcPr>
            <w:tcW w:w="388"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只</w:t>
            </w:r>
          </w:p>
        </w:tc>
        <w:tc>
          <w:tcPr>
            <w:tcW w:w="2449" w:type="pct"/>
            <w:noWrap/>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设备性能：交换容量≥730Gbps，转发性能≥220Mpps，若存在双指标，则以较小的指标为准；提供官网截图；</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配置要求：24个10/100/1000Base-T自适应以太网端口（其中8个是combo口），4个万兆SFP+口； 模块化双电源；模块化双风扇，前/后通风，风道可调；</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★扩展插槽：为保障未来园区链路升级，支持≥1个扩展插槽，支持ALL IN ONE插卡；支持扩展1/2.5/5/10G BASE-T 以太网电接口、25G SFP28端口、40GE QSFP+接口，提供官网链接及选配信息截图证明；</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 xml:space="preserve">VXLAN：支持创新的VxLAN技术，可以同时支持VxLAN二三层网关，提供官网截图和链接； </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★开放多业务架构：支持集成包括FW，IPS、负载均衡等高性能OAP模块插卡。提供官网截图和链接；</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支持安全插卡功能，通过设备的测试流量可以引导向安全插卡，经过安全插卡的安全策略过滤后继续转发。</w:t>
            </w:r>
            <w:r>
              <w:rPr>
                <w:rFonts w:hint="eastAsia" w:ascii="宋体" w:hAnsi="宋体" w:eastAsia="宋体" w:cs="宋体"/>
                <w:b/>
                <w:bCs/>
                <w:sz w:val="22"/>
                <w:szCs w:val="22"/>
                <w:highlight w:val="none"/>
              </w:rPr>
              <w:t>（须提供第三方检测报告复印件并加盖谈判供应商公章）</w:t>
            </w:r>
            <w:r>
              <w:rPr>
                <w:rFonts w:hint="eastAsia" w:ascii="宋体" w:hAnsi="宋体" w:eastAsia="宋体" w:cs="宋体"/>
                <w:b/>
                <w:bCs/>
                <w:sz w:val="22"/>
                <w:szCs w:val="22"/>
                <w:highlight w:val="none"/>
                <w:lang w:eastAsia="zh-CN"/>
              </w:rPr>
              <w:t>；</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路由协议：支持IPv4静态路由、RIP V1/V2、OSPF、BGP；支持IPv6静态路由、RIPng、OSPFv3、BGP4+；</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无线功能：集成无线控制功能，实现接入层无线/有线本地转发，消除无线控制带宽瓶颈，扩大无线部署规模，节省用户投资成本，提供官网清晰截图和链接；</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智能管理中心：为方便运维，要求集成或配置智能运维软件，提供一站式智能运维界面，通过智能运维门户可以提供向导式的网络运维，设备管理、故障排查、维护大全、控制台等功能；</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硬件加密：硬件支持MACsec安全加密功能，包括报文加密，防重放攻击，防篡改等；提供官网截图和链接；</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管理和维护：支持SNMP V1/V2/V3、RMON、SSHV2；支持OAM(802.1AG， 802.3AH)以太网运行、维护和管理标准；</w:t>
            </w:r>
          </w:p>
        </w:tc>
        <w:tc>
          <w:tcPr>
            <w:tcW w:w="845" w:type="pct"/>
            <w:noWrap/>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357"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rPr>
              <w:t>1</w:t>
            </w:r>
            <w:r>
              <w:rPr>
                <w:rFonts w:hint="eastAsia" w:ascii="宋体" w:hAnsi="宋体" w:eastAsia="宋体" w:cs="宋体"/>
                <w:kern w:val="0"/>
                <w:sz w:val="22"/>
                <w:szCs w:val="22"/>
                <w:highlight w:val="none"/>
                <w:lang w:val="en-US" w:eastAsia="zh-CN"/>
              </w:rPr>
              <w:t>5</w:t>
            </w:r>
          </w:p>
        </w:tc>
        <w:tc>
          <w:tcPr>
            <w:tcW w:w="570"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UPS辅材</w:t>
            </w:r>
          </w:p>
        </w:tc>
        <w:tc>
          <w:tcPr>
            <w:tcW w:w="388"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1</w:t>
            </w:r>
          </w:p>
        </w:tc>
        <w:tc>
          <w:tcPr>
            <w:tcW w:w="388"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套</w:t>
            </w:r>
          </w:p>
        </w:tc>
        <w:tc>
          <w:tcPr>
            <w:tcW w:w="2449" w:type="pct"/>
            <w:noWrap/>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1、性能要求： 交换容量≥330Gbps，包转发率≥95Mpps，若存在双指标，则以较小的指标为准；提供官网截图；</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2、配置要求： 固化≥4个千兆光口，≥24个千兆电口；</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3、虚拟化：可实现9台交换机连接，形成一个逻辑上的独立实体，从而构建具备高可靠性、易扩展性和易管理性的新型智能网络，提供官网截图；</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4、链路可靠性：支持ERPS功能，实现快速阻断环路，链路收敛时间≤50ms，提供工信部权威测试报告；</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5、绿色节能：采用绿色节能设计，支持IEEE 802.3az（EEE）节能功能，提供官网截图；</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6、防雷：为保证设备的可靠性，要求业务端口内置10KV防雷能力，提供官网截图；</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7、管理工具配置：为方便运维，要求集成或配置智能运维软件,标配500个网络设备授权；提供一站式智能运维界面，通过智能运维门户可以提供向导式的网络运维，设备管理、故障排查、维护大全、控制台等功能，提供软件功能截图；</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8、公有云平台：设备支持与无线公有云平台连接管理，具备蓝牙连接管理功能，提供工信部权威测试报告；</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9、兼容性：为方便后期统一运维和管理，要求与核心交换机同一品牌；</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10、入网证：提供工信部入网证书，要求提供厂商CMMI5证书；</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11、服务要求：要求厂家在温州本地提供备件库，提供原厂三年质保。</w:t>
            </w:r>
          </w:p>
        </w:tc>
        <w:tc>
          <w:tcPr>
            <w:tcW w:w="845" w:type="pct"/>
            <w:noWrap/>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用于不间断电源。</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357"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16</w:t>
            </w:r>
          </w:p>
        </w:tc>
        <w:tc>
          <w:tcPr>
            <w:tcW w:w="570"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配电箱</w:t>
            </w:r>
          </w:p>
        </w:tc>
        <w:tc>
          <w:tcPr>
            <w:tcW w:w="388"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1</w:t>
            </w:r>
          </w:p>
        </w:tc>
        <w:tc>
          <w:tcPr>
            <w:tcW w:w="388"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套</w:t>
            </w:r>
          </w:p>
        </w:tc>
        <w:tc>
          <w:tcPr>
            <w:tcW w:w="2449" w:type="pct"/>
            <w:noWrap/>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千兆单模SFP光模块，波长1310nm，最大传输距离10km</w:t>
            </w:r>
          </w:p>
        </w:tc>
        <w:tc>
          <w:tcPr>
            <w:tcW w:w="845" w:type="pct"/>
            <w:noWrap/>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用于正常供电。</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357"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17</w:t>
            </w:r>
          </w:p>
        </w:tc>
        <w:tc>
          <w:tcPr>
            <w:tcW w:w="570"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接地系统</w:t>
            </w:r>
          </w:p>
        </w:tc>
        <w:tc>
          <w:tcPr>
            <w:tcW w:w="388"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1</w:t>
            </w:r>
          </w:p>
        </w:tc>
        <w:tc>
          <w:tcPr>
            <w:tcW w:w="388"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项</w:t>
            </w:r>
          </w:p>
        </w:tc>
        <w:tc>
          <w:tcPr>
            <w:tcW w:w="2449" w:type="pct"/>
            <w:noWrap/>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1.容量及规格6KVA/5400KW</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2.内部配件配置整流器、逆变器、充电器以及与背板连接的输入输出电池断路器，模块化设计，可热插拔</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3.系统模块化设计由两块冗余的可热插拔的控制模块来完成对系统的控制管理。一个控制模块故障不会影响到系统的正常工作。控制模块可在线热插拔更换。</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4.静态旁路模块设计采用多个静态旁路结构，以避免转旁路时的多个旁路不均流而造成的过载损坏。</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5.输入电压380V/220V通用</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6.电池放电保护功能根据自动计算出的放电曲线，自动断开电池电路断路器，防止深度放电</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7.逆变器架构IGBT脉宽调制，含输出隔离变压器</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8.输入频率范围50Hz/60Hz±5%</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9.软启动0~100%5sec</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10.逆变器效率满载＞90％</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11.市电功率因数＞0.99</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12.逆变器过载能力125%维持10分钟，150%维持1分钟</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13.不平衡带载能力适应100％三相不平衡带载</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14.输出频率40Hz-70Hz±0.5Hz（电池供电）可在屏幕上在线手动调节设置</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15.额定功率标准功率×0.9</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16.输出电压交流220V，</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17.转换时间0ms</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18.通讯接口RS232.USB(485.网络远程监控 选件)</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19.DC电压16/18/20节，可调</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20.防雷保护标准内置防雷模块</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21.智能维护可以在线插拔维护更换配件</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22.安全功能输入输出错接,电池反接错误保护，整机采用6个温度检知传感,具备预警功能</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23屏幕功能通过中文菜单操作，可设置发电机模式下是否充电，可设置整流器缓启20-60秒，智能风扇运行寿命提示。</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24.质量证明提供原厂三年免费上门服务维护质保证明。                                            25.智能精密维护系统旁路柜含系统总输入开关、UPS输入开关、输出开关、维修旁路开关，检测电路主板，开关通讯模块、RS232接口模块、RJ45网卡模块、直流开关、系统启动开关，三相输入输出的电压和电流传感器组件，中线电流、地线电流传感器，</w:t>
            </w:r>
          </w:p>
        </w:tc>
        <w:tc>
          <w:tcPr>
            <w:tcW w:w="845" w:type="pct"/>
            <w:noWrap/>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用于电源保护。</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357"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18</w:t>
            </w:r>
          </w:p>
        </w:tc>
        <w:tc>
          <w:tcPr>
            <w:tcW w:w="570"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管线及安装调试费</w:t>
            </w:r>
          </w:p>
        </w:tc>
        <w:tc>
          <w:tcPr>
            <w:tcW w:w="388"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60</w:t>
            </w:r>
          </w:p>
        </w:tc>
        <w:tc>
          <w:tcPr>
            <w:tcW w:w="388"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套</w:t>
            </w:r>
          </w:p>
        </w:tc>
        <w:tc>
          <w:tcPr>
            <w:tcW w:w="2449" w:type="pct"/>
            <w:noWrap/>
            <w:vAlign w:val="center"/>
          </w:tcPr>
          <w:p>
            <w:pPr>
              <w:keepNext w:val="0"/>
              <w:keepLines w:val="0"/>
              <w:pageBreakBefore w:val="0"/>
              <w:numPr>
                <w:ilvl w:val="0"/>
                <w:numId w:val="3"/>
              </w:numPr>
              <w:kinsoku/>
              <w:wordWrap/>
              <w:overflowPunct/>
              <w:topLinePunct w:val="0"/>
              <w:autoSpaceDE/>
              <w:autoSpaceDN/>
              <w:bidi w:val="0"/>
              <w:adjustRightInd/>
              <w:snapToGrid/>
              <w:spacing w:line="360" w:lineRule="exact"/>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采用全胶体电池UPS主机原厂认可配套的免维护全胶体电池，每组16节原装密封铅酸免维护蓄电池12V(≥100AH)，电池设计寿命不低于8年</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2材料性能特点</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 xml:space="preserve">采用优质阻燃材ABS槽壳，进一步增强板栅抗腐蚀能力  </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3.容量保存率</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完全充电后的电池在25℃±2℃的环境中静放28天后，容量不低于97.5%C10                              4.耐过充电能力将完全充电后的电池以0.310A连续充电160h，应无变形、无漏液                         5.服务要求提供原厂商工程师现场安装和调试；提供3年包换证明质保函，3年质保期内任何一组电池中的任何一节电池损坏需要更换该电池所在的电池组的所有电池。</w:t>
            </w:r>
          </w:p>
          <w:p>
            <w:pPr>
              <w:keepNext w:val="0"/>
              <w:keepLines w:val="0"/>
              <w:pageBreakBefore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6.附件齐全，配备所有电池及电池组连接线，连接线长度及其性能应满足施工要求，配备上电池柜的附件</w:t>
            </w:r>
          </w:p>
        </w:tc>
        <w:tc>
          <w:tcPr>
            <w:tcW w:w="845" w:type="pct"/>
            <w:noWrap/>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用于安装调试。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357"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19</w:t>
            </w:r>
          </w:p>
        </w:tc>
        <w:tc>
          <w:tcPr>
            <w:tcW w:w="570"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原系统拆除服务</w:t>
            </w:r>
          </w:p>
        </w:tc>
        <w:tc>
          <w:tcPr>
            <w:tcW w:w="388"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1</w:t>
            </w:r>
          </w:p>
        </w:tc>
        <w:tc>
          <w:tcPr>
            <w:tcW w:w="388"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项</w:t>
            </w:r>
          </w:p>
        </w:tc>
        <w:tc>
          <w:tcPr>
            <w:tcW w:w="2449" w:type="pct"/>
            <w:noWrap/>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2"/>
                <w:szCs w:val="22"/>
                <w:highlight w:val="none"/>
              </w:rPr>
            </w:pPr>
            <w:r>
              <w:rPr>
                <w:rFonts w:hint="eastAsia" w:ascii="宋体" w:hAnsi="宋体" w:eastAsia="宋体" w:cs="宋体"/>
                <w:kern w:val="0"/>
                <w:sz w:val="22"/>
                <w:szCs w:val="22"/>
                <w:highlight w:val="none"/>
              </w:rPr>
              <w:t>对原系统进行拆除</w:t>
            </w:r>
          </w:p>
        </w:tc>
        <w:tc>
          <w:tcPr>
            <w:tcW w:w="845" w:type="pct"/>
            <w:noWrap/>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原系统安全拆除</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357"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20</w:t>
            </w:r>
          </w:p>
        </w:tc>
        <w:tc>
          <w:tcPr>
            <w:tcW w:w="570"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系统集成及维护服务</w:t>
            </w:r>
          </w:p>
        </w:tc>
        <w:tc>
          <w:tcPr>
            <w:tcW w:w="388"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1</w:t>
            </w:r>
          </w:p>
        </w:tc>
        <w:tc>
          <w:tcPr>
            <w:tcW w:w="388"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项</w:t>
            </w:r>
          </w:p>
        </w:tc>
        <w:tc>
          <w:tcPr>
            <w:tcW w:w="2449" w:type="pct"/>
            <w:noWrap/>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系统集成服务、五年维护</w:t>
            </w:r>
          </w:p>
        </w:tc>
        <w:tc>
          <w:tcPr>
            <w:tcW w:w="845" w:type="pct"/>
            <w:noWrap/>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维保服务</w:t>
            </w:r>
          </w:p>
        </w:tc>
      </w:tr>
    </w:tbl>
    <w:p>
      <w:pPr>
        <w:pStyle w:val="2"/>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二、其他要求</w:t>
      </w:r>
    </w:p>
    <w:p>
      <w:pPr>
        <w:keepNext w:val="0"/>
        <w:keepLines w:val="0"/>
        <w:pageBreakBefore w:val="0"/>
        <w:widowControl w:val="0"/>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b w:val="0"/>
          <w:bCs w:val="0"/>
          <w:color w:val="auto"/>
          <w:sz w:val="22"/>
          <w:szCs w:val="22"/>
          <w:highlight w:val="none"/>
          <w:u w:val="none"/>
          <w:shd w:val="clear" w:color="auto" w:fill="auto"/>
        </w:rPr>
      </w:pPr>
      <w:r>
        <w:rPr>
          <w:rFonts w:hint="eastAsia" w:ascii="宋体" w:hAnsi="宋体" w:eastAsia="宋体" w:cs="宋体"/>
          <w:b w:val="0"/>
          <w:bCs w:val="0"/>
          <w:color w:val="auto"/>
          <w:sz w:val="22"/>
          <w:szCs w:val="22"/>
          <w:highlight w:val="none"/>
          <w:u w:val="none"/>
          <w:shd w:val="clear" w:color="auto" w:fill="auto"/>
        </w:rPr>
        <w:t>（1）</w:t>
      </w:r>
      <w:r>
        <w:rPr>
          <w:rFonts w:hint="eastAsia" w:ascii="宋体" w:hAnsi="宋体" w:eastAsia="宋体" w:cs="宋体"/>
          <w:b w:val="0"/>
          <w:bCs w:val="0"/>
          <w:color w:val="auto"/>
          <w:sz w:val="22"/>
          <w:szCs w:val="22"/>
          <w:highlight w:val="none"/>
          <w:u w:val="none"/>
          <w:shd w:val="clear" w:color="auto" w:fill="auto"/>
          <w:lang w:eastAsia="zh-CN"/>
        </w:rPr>
        <w:t>供应商</w:t>
      </w:r>
      <w:r>
        <w:rPr>
          <w:rFonts w:hint="eastAsia" w:ascii="宋体" w:hAnsi="宋体" w:eastAsia="宋体" w:cs="宋体"/>
          <w:b w:val="0"/>
          <w:bCs w:val="0"/>
          <w:color w:val="auto"/>
          <w:sz w:val="22"/>
          <w:szCs w:val="22"/>
          <w:highlight w:val="none"/>
          <w:u w:val="none"/>
          <w:shd w:val="clear" w:color="auto" w:fill="auto"/>
        </w:rPr>
        <w:t>保证所提供的维护服务达到整套系统运行质量要求，符合相关的技术标准和规范要求，保证满足</w:t>
      </w:r>
      <w:r>
        <w:rPr>
          <w:rFonts w:hint="eastAsia" w:ascii="宋体" w:hAnsi="宋体" w:eastAsia="宋体" w:cs="宋体"/>
          <w:b w:val="0"/>
          <w:bCs w:val="0"/>
          <w:color w:val="auto"/>
          <w:sz w:val="22"/>
          <w:szCs w:val="22"/>
          <w:highlight w:val="none"/>
          <w:u w:val="none"/>
          <w:shd w:val="clear" w:color="auto" w:fill="auto"/>
          <w:lang w:eastAsia="zh-CN"/>
        </w:rPr>
        <w:t>采购人</w:t>
      </w:r>
      <w:r>
        <w:rPr>
          <w:rFonts w:hint="eastAsia" w:ascii="宋体" w:hAnsi="宋体" w:eastAsia="宋体" w:cs="宋体"/>
          <w:b w:val="0"/>
          <w:bCs w:val="0"/>
          <w:color w:val="auto"/>
          <w:sz w:val="22"/>
          <w:szCs w:val="22"/>
          <w:highlight w:val="none"/>
          <w:u w:val="none"/>
          <w:shd w:val="clear" w:color="auto" w:fill="auto"/>
        </w:rPr>
        <w:t>客户正常工作需求。</w:t>
      </w:r>
    </w:p>
    <w:p>
      <w:pPr>
        <w:keepNext w:val="0"/>
        <w:keepLines w:val="0"/>
        <w:pageBreakBefore w:val="0"/>
        <w:widowControl w:val="0"/>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b w:val="0"/>
          <w:bCs w:val="0"/>
          <w:color w:val="auto"/>
          <w:sz w:val="22"/>
          <w:szCs w:val="22"/>
          <w:highlight w:val="none"/>
          <w:u w:val="none"/>
          <w:shd w:val="clear" w:color="auto" w:fill="auto"/>
        </w:rPr>
      </w:pPr>
      <w:r>
        <w:rPr>
          <w:rFonts w:hint="eastAsia" w:ascii="宋体" w:hAnsi="宋体" w:eastAsia="宋体" w:cs="宋体"/>
          <w:b w:val="0"/>
          <w:bCs w:val="0"/>
          <w:color w:val="auto"/>
          <w:sz w:val="22"/>
          <w:szCs w:val="22"/>
          <w:highlight w:val="none"/>
          <w:u w:val="none"/>
          <w:shd w:val="clear" w:color="auto" w:fill="auto"/>
        </w:rPr>
        <w:t>（2）</w:t>
      </w:r>
      <w:r>
        <w:rPr>
          <w:rFonts w:hint="eastAsia" w:ascii="宋体" w:hAnsi="宋体" w:eastAsia="宋体" w:cs="宋体"/>
          <w:b w:val="0"/>
          <w:bCs w:val="0"/>
          <w:color w:val="auto"/>
          <w:sz w:val="22"/>
          <w:szCs w:val="22"/>
          <w:highlight w:val="none"/>
          <w:u w:val="none"/>
          <w:shd w:val="clear" w:color="auto" w:fill="auto"/>
          <w:lang w:eastAsia="zh-CN"/>
        </w:rPr>
        <w:t>供应商</w:t>
      </w:r>
      <w:r>
        <w:rPr>
          <w:rFonts w:hint="eastAsia" w:ascii="宋体" w:hAnsi="宋体" w:eastAsia="宋体" w:cs="宋体"/>
          <w:b w:val="0"/>
          <w:bCs w:val="0"/>
          <w:color w:val="auto"/>
          <w:sz w:val="22"/>
          <w:szCs w:val="22"/>
          <w:highlight w:val="none"/>
          <w:u w:val="none"/>
          <w:shd w:val="clear" w:color="auto" w:fill="auto"/>
        </w:rPr>
        <w:t>所提供的维护服务质量应符合国家电信主管部门的质量标准和技术要求，满足</w:t>
      </w:r>
      <w:r>
        <w:rPr>
          <w:rFonts w:hint="eastAsia" w:ascii="宋体" w:hAnsi="宋体" w:eastAsia="宋体" w:cs="宋体"/>
          <w:b w:val="0"/>
          <w:bCs w:val="0"/>
          <w:color w:val="auto"/>
          <w:sz w:val="22"/>
          <w:szCs w:val="22"/>
          <w:highlight w:val="none"/>
          <w:u w:val="none"/>
          <w:shd w:val="clear" w:color="auto" w:fill="auto"/>
          <w:lang w:eastAsia="zh-CN"/>
        </w:rPr>
        <w:t>采购人</w:t>
      </w:r>
      <w:r>
        <w:rPr>
          <w:rFonts w:hint="eastAsia" w:ascii="宋体" w:hAnsi="宋体" w:eastAsia="宋体" w:cs="宋体"/>
          <w:b w:val="0"/>
          <w:bCs w:val="0"/>
          <w:color w:val="auto"/>
          <w:sz w:val="22"/>
          <w:szCs w:val="22"/>
          <w:highlight w:val="none"/>
          <w:u w:val="none"/>
          <w:shd w:val="clear" w:color="auto" w:fill="auto"/>
        </w:rPr>
        <w:t>客户系统整体运营需求。</w:t>
      </w:r>
    </w:p>
    <w:p>
      <w:pPr>
        <w:keepNext w:val="0"/>
        <w:keepLines w:val="0"/>
        <w:pageBreakBefore w:val="0"/>
        <w:widowControl w:val="0"/>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b w:val="0"/>
          <w:bCs w:val="0"/>
          <w:color w:val="auto"/>
          <w:sz w:val="22"/>
          <w:szCs w:val="22"/>
          <w:highlight w:val="none"/>
          <w:u w:val="none"/>
          <w:shd w:val="clear" w:color="auto" w:fill="auto"/>
        </w:rPr>
      </w:pPr>
      <w:r>
        <w:rPr>
          <w:rFonts w:hint="eastAsia" w:ascii="宋体" w:hAnsi="宋体" w:eastAsia="宋体" w:cs="宋体"/>
          <w:b w:val="0"/>
          <w:bCs w:val="0"/>
          <w:color w:val="auto"/>
          <w:sz w:val="22"/>
          <w:szCs w:val="22"/>
          <w:highlight w:val="none"/>
          <w:u w:val="none"/>
          <w:shd w:val="clear" w:color="auto" w:fill="auto"/>
        </w:rPr>
        <w:t>（3）</w:t>
      </w:r>
      <w:r>
        <w:rPr>
          <w:rFonts w:hint="eastAsia" w:ascii="宋体" w:hAnsi="宋体" w:eastAsia="宋体" w:cs="宋体"/>
          <w:b w:val="0"/>
          <w:bCs w:val="0"/>
          <w:color w:val="auto"/>
          <w:sz w:val="22"/>
          <w:szCs w:val="22"/>
          <w:highlight w:val="none"/>
          <w:u w:val="none"/>
          <w:shd w:val="clear" w:color="auto" w:fill="auto"/>
          <w:lang w:eastAsia="zh-CN"/>
        </w:rPr>
        <w:t>供应商</w:t>
      </w:r>
      <w:r>
        <w:rPr>
          <w:rFonts w:hint="eastAsia" w:ascii="宋体" w:hAnsi="宋体" w:eastAsia="宋体" w:cs="宋体"/>
          <w:b w:val="0"/>
          <w:bCs w:val="0"/>
          <w:color w:val="auto"/>
          <w:sz w:val="22"/>
          <w:szCs w:val="22"/>
          <w:highlight w:val="none"/>
          <w:u w:val="none"/>
          <w:shd w:val="clear" w:color="auto" w:fill="auto"/>
        </w:rPr>
        <w:t>负责建立健全系统维护服务的技术档案和维护档案并提供给</w:t>
      </w:r>
      <w:r>
        <w:rPr>
          <w:rFonts w:hint="eastAsia" w:ascii="宋体" w:hAnsi="宋体" w:eastAsia="宋体" w:cs="宋体"/>
          <w:b w:val="0"/>
          <w:bCs w:val="0"/>
          <w:color w:val="auto"/>
          <w:sz w:val="22"/>
          <w:szCs w:val="22"/>
          <w:highlight w:val="none"/>
          <w:u w:val="none"/>
          <w:shd w:val="clear" w:color="auto" w:fill="auto"/>
          <w:lang w:eastAsia="zh-CN"/>
        </w:rPr>
        <w:t>采购人</w:t>
      </w:r>
      <w:r>
        <w:rPr>
          <w:rFonts w:hint="eastAsia" w:ascii="宋体" w:hAnsi="宋体" w:eastAsia="宋体" w:cs="宋体"/>
          <w:b w:val="0"/>
          <w:bCs w:val="0"/>
          <w:color w:val="auto"/>
          <w:sz w:val="22"/>
          <w:szCs w:val="22"/>
          <w:highlight w:val="none"/>
          <w:u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b w:val="0"/>
          <w:bCs w:val="0"/>
          <w:color w:val="auto"/>
          <w:sz w:val="22"/>
          <w:szCs w:val="22"/>
          <w:highlight w:val="none"/>
          <w:u w:val="none"/>
          <w:shd w:val="clear" w:color="auto" w:fill="auto"/>
        </w:rPr>
      </w:pPr>
      <w:r>
        <w:rPr>
          <w:rFonts w:hint="eastAsia" w:ascii="宋体" w:hAnsi="宋体" w:eastAsia="宋体" w:cs="宋体"/>
          <w:b w:val="0"/>
          <w:bCs w:val="0"/>
          <w:color w:val="auto"/>
          <w:sz w:val="22"/>
          <w:szCs w:val="22"/>
          <w:highlight w:val="none"/>
          <w:u w:val="none"/>
          <w:shd w:val="clear" w:color="auto" w:fill="auto"/>
        </w:rPr>
        <w:t>（4）</w:t>
      </w:r>
      <w:r>
        <w:rPr>
          <w:rFonts w:hint="eastAsia" w:ascii="宋体" w:hAnsi="宋体" w:eastAsia="宋体" w:cs="宋体"/>
          <w:b w:val="0"/>
          <w:bCs w:val="0"/>
          <w:color w:val="auto"/>
          <w:sz w:val="22"/>
          <w:szCs w:val="22"/>
          <w:highlight w:val="none"/>
          <w:u w:val="none"/>
          <w:shd w:val="clear" w:color="auto" w:fill="auto"/>
          <w:lang w:eastAsia="zh-CN"/>
        </w:rPr>
        <w:t>供应商</w:t>
      </w:r>
      <w:r>
        <w:rPr>
          <w:rFonts w:hint="eastAsia" w:ascii="宋体" w:hAnsi="宋体" w:eastAsia="宋体" w:cs="宋体"/>
          <w:b w:val="0"/>
          <w:bCs w:val="0"/>
          <w:color w:val="auto"/>
          <w:sz w:val="22"/>
          <w:szCs w:val="22"/>
          <w:highlight w:val="none"/>
          <w:u w:val="none"/>
          <w:shd w:val="clear" w:color="auto" w:fill="auto"/>
        </w:rPr>
        <w:t>为</w:t>
      </w:r>
      <w:r>
        <w:rPr>
          <w:rFonts w:hint="eastAsia" w:ascii="宋体" w:hAnsi="宋体" w:eastAsia="宋体" w:cs="宋体"/>
          <w:b w:val="0"/>
          <w:bCs w:val="0"/>
          <w:color w:val="auto"/>
          <w:sz w:val="22"/>
          <w:szCs w:val="22"/>
          <w:highlight w:val="none"/>
          <w:u w:val="none"/>
          <w:shd w:val="clear" w:color="auto" w:fill="auto"/>
          <w:lang w:eastAsia="zh-CN"/>
        </w:rPr>
        <w:t>采购人</w:t>
      </w:r>
      <w:r>
        <w:rPr>
          <w:rFonts w:hint="eastAsia" w:ascii="宋体" w:hAnsi="宋体" w:eastAsia="宋体" w:cs="宋体"/>
          <w:b w:val="0"/>
          <w:bCs w:val="0"/>
          <w:color w:val="auto"/>
          <w:sz w:val="22"/>
          <w:szCs w:val="22"/>
          <w:highlight w:val="none"/>
          <w:u w:val="none"/>
          <w:shd w:val="clear" w:color="auto" w:fill="auto"/>
        </w:rPr>
        <w:t>提供及时优质的服务，保障网络的运行稳定，负责故障的全程处理，</w:t>
      </w:r>
      <w:r>
        <w:rPr>
          <w:rFonts w:hint="eastAsia" w:ascii="宋体" w:hAnsi="宋体" w:eastAsia="宋体" w:cs="宋体"/>
          <w:b w:val="0"/>
          <w:bCs w:val="0"/>
          <w:color w:val="auto"/>
          <w:sz w:val="22"/>
          <w:szCs w:val="22"/>
          <w:highlight w:val="none"/>
          <w:u w:val="none"/>
          <w:shd w:val="clear" w:color="auto" w:fill="auto"/>
          <w:lang w:eastAsia="zh-CN"/>
        </w:rPr>
        <w:t>供应商</w:t>
      </w:r>
      <w:r>
        <w:rPr>
          <w:rFonts w:hint="eastAsia" w:ascii="宋体" w:hAnsi="宋体" w:eastAsia="宋体" w:cs="宋体"/>
          <w:b w:val="0"/>
          <w:bCs w:val="0"/>
          <w:color w:val="auto"/>
          <w:sz w:val="22"/>
          <w:szCs w:val="22"/>
          <w:highlight w:val="none"/>
          <w:u w:val="none"/>
          <w:shd w:val="clear" w:color="auto" w:fill="auto"/>
        </w:rPr>
        <w:t>将提供365天7×24小时热线电话服务，并根据合同内容进行相关维护。</w:t>
      </w:r>
    </w:p>
    <w:p>
      <w:pPr>
        <w:keepNext w:val="0"/>
        <w:keepLines w:val="0"/>
        <w:pageBreakBefore w:val="0"/>
        <w:widowControl w:val="0"/>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b w:val="0"/>
          <w:bCs w:val="0"/>
          <w:color w:val="auto"/>
          <w:sz w:val="22"/>
          <w:szCs w:val="22"/>
          <w:highlight w:val="none"/>
          <w:u w:val="none"/>
          <w:shd w:val="clear" w:color="auto" w:fill="auto"/>
        </w:rPr>
      </w:pPr>
      <w:r>
        <w:rPr>
          <w:rFonts w:hint="eastAsia" w:ascii="宋体" w:hAnsi="宋体" w:eastAsia="宋体" w:cs="宋体"/>
          <w:b w:val="0"/>
          <w:bCs w:val="0"/>
          <w:color w:val="auto"/>
          <w:sz w:val="22"/>
          <w:szCs w:val="22"/>
          <w:highlight w:val="none"/>
          <w:u w:val="none"/>
          <w:shd w:val="clear" w:color="auto" w:fill="auto"/>
        </w:rPr>
        <w:t>（5）</w:t>
      </w:r>
      <w:r>
        <w:rPr>
          <w:rFonts w:hint="eastAsia" w:ascii="宋体" w:hAnsi="宋体" w:eastAsia="宋体" w:cs="宋体"/>
          <w:b w:val="0"/>
          <w:bCs w:val="0"/>
          <w:color w:val="auto"/>
          <w:sz w:val="22"/>
          <w:szCs w:val="22"/>
          <w:highlight w:val="none"/>
          <w:u w:val="none"/>
          <w:shd w:val="clear" w:color="auto" w:fill="auto"/>
          <w:lang w:eastAsia="zh-CN"/>
        </w:rPr>
        <w:t>供应商</w:t>
      </w:r>
      <w:r>
        <w:rPr>
          <w:rFonts w:hint="eastAsia" w:ascii="宋体" w:hAnsi="宋体" w:eastAsia="宋体" w:cs="宋体"/>
          <w:b w:val="0"/>
          <w:bCs w:val="0"/>
          <w:color w:val="auto"/>
          <w:sz w:val="22"/>
          <w:szCs w:val="22"/>
          <w:highlight w:val="none"/>
          <w:u w:val="none"/>
          <w:shd w:val="clear" w:color="auto" w:fill="auto"/>
        </w:rPr>
        <w:t>应制定应急维护机制，如遇平台技术升级等，应提前48小时通知</w:t>
      </w:r>
      <w:r>
        <w:rPr>
          <w:rFonts w:hint="eastAsia" w:ascii="宋体" w:hAnsi="宋体" w:eastAsia="宋体" w:cs="宋体"/>
          <w:b w:val="0"/>
          <w:bCs w:val="0"/>
          <w:color w:val="auto"/>
          <w:sz w:val="22"/>
          <w:szCs w:val="22"/>
          <w:highlight w:val="none"/>
          <w:u w:val="none"/>
          <w:shd w:val="clear" w:color="auto" w:fill="auto"/>
          <w:lang w:eastAsia="zh-CN"/>
        </w:rPr>
        <w:t>采购人</w:t>
      </w:r>
      <w:r>
        <w:rPr>
          <w:rFonts w:hint="eastAsia" w:ascii="宋体" w:hAnsi="宋体" w:eastAsia="宋体" w:cs="宋体"/>
          <w:b w:val="0"/>
          <w:bCs w:val="0"/>
          <w:color w:val="auto"/>
          <w:sz w:val="22"/>
          <w:szCs w:val="22"/>
          <w:highlight w:val="none"/>
          <w:u w:val="none"/>
          <w:shd w:val="clear" w:color="auto" w:fill="auto"/>
        </w:rPr>
        <w:t>，说明可能造成的影响和范围，并经</w:t>
      </w:r>
      <w:r>
        <w:rPr>
          <w:rFonts w:hint="eastAsia" w:ascii="宋体" w:hAnsi="宋体" w:eastAsia="宋体" w:cs="宋体"/>
          <w:b w:val="0"/>
          <w:bCs w:val="0"/>
          <w:color w:val="auto"/>
          <w:sz w:val="22"/>
          <w:szCs w:val="22"/>
          <w:highlight w:val="none"/>
          <w:u w:val="none"/>
          <w:shd w:val="clear" w:color="auto" w:fill="auto"/>
          <w:lang w:eastAsia="zh-CN"/>
        </w:rPr>
        <w:t>采购人</w:t>
      </w:r>
      <w:r>
        <w:rPr>
          <w:rFonts w:hint="eastAsia" w:ascii="宋体" w:hAnsi="宋体" w:eastAsia="宋体" w:cs="宋体"/>
          <w:b w:val="0"/>
          <w:bCs w:val="0"/>
          <w:color w:val="auto"/>
          <w:sz w:val="22"/>
          <w:szCs w:val="22"/>
          <w:highlight w:val="none"/>
          <w:u w:val="none"/>
          <w:shd w:val="clear" w:color="auto" w:fill="auto"/>
        </w:rPr>
        <w:t>同意。每次平台技术升级在6小时内完成，并采取相应措施，确保系统数据安全。</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 w:val="0"/>
          <w:bCs w:val="0"/>
          <w:color w:val="auto"/>
          <w:sz w:val="22"/>
          <w:szCs w:val="22"/>
          <w:highlight w:val="none"/>
          <w:u w:val="none"/>
          <w:shd w:val="clear" w:color="auto" w:fill="auto"/>
        </w:rPr>
      </w:pPr>
      <w:r>
        <w:rPr>
          <w:rFonts w:hint="eastAsia" w:ascii="宋体" w:hAnsi="宋体" w:eastAsia="宋体" w:cs="宋体"/>
          <w:b w:val="0"/>
          <w:bCs w:val="0"/>
          <w:color w:val="auto"/>
          <w:sz w:val="22"/>
          <w:szCs w:val="22"/>
          <w:highlight w:val="none"/>
          <w:u w:val="none"/>
          <w:shd w:val="clear" w:color="auto" w:fill="auto"/>
        </w:rPr>
        <w:t>（6）</w:t>
      </w:r>
      <w:r>
        <w:rPr>
          <w:rFonts w:hint="eastAsia" w:ascii="宋体" w:hAnsi="宋体" w:eastAsia="宋体" w:cs="宋体"/>
          <w:b w:val="0"/>
          <w:bCs w:val="0"/>
          <w:color w:val="auto"/>
          <w:sz w:val="22"/>
          <w:szCs w:val="22"/>
          <w:highlight w:val="none"/>
          <w:u w:val="none"/>
          <w:shd w:val="clear" w:color="auto" w:fill="auto"/>
          <w:lang w:eastAsia="zh-CN"/>
        </w:rPr>
        <w:t>供应商</w:t>
      </w:r>
      <w:r>
        <w:rPr>
          <w:rFonts w:hint="eastAsia" w:ascii="宋体" w:hAnsi="宋体" w:eastAsia="宋体" w:cs="宋体"/>
          <w:b w:val="0"/>
          <w:bCs w:val="0"/>
          <w:color w:val="auto"/>
          <w:sz w:val="22"/>
          <w:szCs w:val="22"/>
          <w:highlight w:val="none"/>
          <w:u w:val="none"/>
          <w:shd w:val="clear" w:color="auto" w:fill="auto"/>
        </w:rPr>
        <w:t>除不可抗拒的因素（包含战争、自然灾害等不可抗力的客观因素）外，应在签订合同后</w:t>
      </w:r>
      <w:r>
        <w:rPr>
          <w:rFonts w:hint="eastAsia" w:ascii="宋体" w:hAnsi="宋体" w:eastAsia="宋体" w:cs="宋体"/>
          <w:b w:val="0"/>
          <w:bCs w:val="0"/>
          <w:color w:val="auto"/>
          <w:sz w:val="22"/>
          <w:szCs w:val="22"/>
          <w:highlight w:val="none"/>
          <w:u w:val="none"/>
          <w:shd w:val="clear" w:color="auto" w:fill="auto"/>
          <w:lang w:val="en-US" w:eastAsia="zh-CN"/>
        </w:rPr>
        <w:t>45</w:t>
      </w:r>
      <w:r>
        <w:rPr>
          <w:rFonts w:hint="eastAsia" w:ascii="宋体" w:hAnsi="宋体" w:eastAsia="宋体" w:cs="宋体"/>
          <w:b w:val="0"/>
          <w:bCs w:val="0"/>
          <w:color w:val="auto"/>
          <w:sz w:val="22"/>
          <w:szCs w:val="22"/>
          <w:highlight w:val="none"/>
          <w:u w:val="none"/>
          <w:shd w:val="clear" w:color="auto" w:fill="auto"/>
        </w:rPr>
        <w:t>日内完成整体系统调试工作，并为</w:t>
      </w:r>
      <w:r>
        <w:rPr>
          <w:rFonts w:hint="eastAsia" w:ascii="宋体" w:hAnsi="宋体" w:eastAsia="宋体" w:cs="宋体"/>
          <w:b w:val="0"/>
          <w:bCs w:val="0"/>
          <w:color w:val="auto"/>
          <w:sz w:val="22"/>
          <w:szCs w:val="22"/>
          <w:highlight w:val="none"/>
          <w:u w:val="none"/>
          <w:shd w:val="clear" w:color="auto" w:fill="auto"/>
          <w:lang w:eastAsia="zh-CN"/>
        </w:rPr>
        <w:t>采购人</w:t>
      </w:r>
      <w:r>
        <w:rPr>
          <w:rFonts w:hint="eastAsia" w:ascii="宋体" w:hAnsi="宋体" w:eastAsia="宋体" w:cs="宋体"/>
          <w:b w:val="0"/>
          <w:bCs w:val="0"/>
          <w:color w:val="auto"/>
          <w:sz w:val="22"/>
          <w:szCs w:val="22"/>
          <w:highlight w:val="none"/>
          <w:u w:val="none"/>
          <w:shd w:val="clear" w:color="auto" w:fill="auto"/>
        </w:rPr>
        <w:t>提供后续设系统调试服务升级工作。</w:t>
      </w:r>
    </w:p>
    <w:p>
      <w:pPr>
        <w:keepNext w:val="0"/>
        <w:keepLines w:val="0"/>
        <w:pageBreakBefore w:val="0"/>
        <w:widowControl w:val="0"/>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b w:val="0"/>
          <w:bCs w:val="0"/>
          <w:highlight w:val="none"/>
          <w:u w:val="none"/>
        </w:rPr>
      </w:pPr>
      <w:r>
        <w:rPr>
          <w:rFonts w:hint="eastAsia" w:ascii="宋体" w:hAnsi="宋体" w:eastAsia="宋体" w:cs="宋体"/>
          <w:b w:val="0"/>
          <w:bCs w:val="0"/>
          <w:color w:val="auto"/>
          <w:sz w:val="22"/>
          <w:szCs w:val="22"/>
          <w:highlight w:val="none"/>
          <w:u w:val="none"/>
          <w:shd w:val="clear" w:color="auto" w:fill="auto"/>
        </w:rPr>
        <w:t>（7）其他约定：合同到期后，</w:t>
      </w:r>
      <w:r>
        <w:rPr>
          <w:rFonts w:hint="eastAsia" w:ascii="宋体" w:hAnsi="宋体" w:eastAsia="宋体" w:cs="宋体"/>
          <w:b w:val="0"/>
          <w:bCs w:val="0"/>
          <w:color w:val="auto"/>
          <w:sz w:val="22"/>
          <w:szCs w:val="22"/>
          <w:highlight w:val="none"/>
          <w:u w:val="none"/>
          <w:shd w:val="clear" w:color="auto" w:fill="auto"/>
          <w:lang w:eastAsia="zh-CN"/>
        </w:rPr>
        <w:t>供应商</w:t>
      </w:r>
      <w:r>
        <w:rPr>
          <w:rFonts w:hint="eastAsia" w:ascii="宋体" w:hAnsi="宋体" w:eastAsia="宋体" w:cs="宋体"/>
          <w:b w:val="0"/>
          <w:bCs w:val="0"/>
          <w:color w:val="auto"/>
          <w:sz w:val="22"/>
          <w:szCs w:val="22"/>
          <w:highlight w:val="none"/>
          <w:u w:val="none"/>
          <w:shd w:val="clear" w:color="auto" w:fill="auto"/>
        </w:rPr>
        <w:t>将项目所涉及内容整体移交</w:t>
      </w:r>
      <w:r>
        <w:rPr>
          <w:rFonts w:hint="eastAsia" w:ascii="宋体" w:hAnsi="宋体" w:eastAsia="宋体" w:cs="宋体"/>
          <w:b w:val="0"/>
          <w:bCs w:val="0"/>
          <w:color w:val="auto"/>
          <w:sz w:val="22"/>
          <w:szCs w:val="22"/>
          <w:highlight w:val="none"/>
          <w:u w:val="none"/>
          <w:shd w:val="clear" w:color="auto" w:fill="auto"/>
          <w:lang w:eastAsia="zh-CN"/>
        </w:rPr>
        <w:t>采购人</w:t>
      </w:r>
      <w:r>
        <w:rPr>
          <w:rFonts w:hint="eastAsia" w:ascii="宋体" w:hAnsi="宋体" w:eastAsia="宋体" w:cs="宋体"/>
          <w:b w:val="0"/>
          <w:bCs w:val="0"/>
          <w:color w:val="auto"/>
          <w:sz w:val="22"/>
          <w:szCs w:val="22"/>
          <w:highlight w:val="none"/>
          <w:u w:val="none"/>
          <w:shd w:val="clear" w:color="auto" w:fill="auto"/>
        </w:rPr>
        <w:t>。</w:t>
      </w:r>
    </w:p>
    <w:p>
      <w:pPr>
        <w:pStyle w:val="2"/>
        <w:numPr>
          <w:ilvl w:val="0"/>
          <w:numId w:val="0"/>
        </w:numPr>
        <w:spacing w:line="440" w:lineRule="exact"/>
        <w:jc w:val="center"/>
        <w:rPr>
          <w:rFonts w:hint="eastAsia" w:ascii="宋体" w:hAnsi="宋体" w:eastAsia="宋体" w:cs="宋体"/>
          <w:color w:val="000000" w:themeColor="text1"/>
          <w:sz w:val="36"/>
          <w:szCs w:val="36"/>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br w:type="page"/>
      </w:r>
      <w:bookmarkStart w:id="192" w:name="_Toc249758722"/>
      <w:bookmarkStart w:id="193" w:name="_Toc262049426"/>
      <w:bookmarkStart w:id="194" w:name="_Toc222114886"/>
      <w:bookmarkStart w:id="195" w:name="_Toc246261272"/>
      <w:bookmarkStart w:id="196" w:name="_Toc239145361"/>
      <w:bookmarkStart w:id="197" w:name="_Toc221423626"/>
      <w:bookmarkStart w:id="198" w:name="_Toc249758872"/>
      <w:bookmarkStart w:id="199" w:name="_Toc245191321"/>
      <w:bookmarkStart w:id="200" w:name="_Toc245722288"/>
      <w:bookmarkStart w:id="201" w:name="_Toc241404209"/>
      <w:bookmarkStart w:id="202" w:name="_Toc49175243"/>
      <w:bookmarkStart w:id="203" w:name="_Toc223716005"/>
      <w:bookmarkStart w:id="204" w:name="_Toc262105511"/>
      <w:r>
        <w:rPr>
          <w:rFonts w:hint="eastAsia" w:ascii="宋体" w:hAnsi="宋体" w:eastAsia="宋体" w:cs="宋体"/>
          <w:color w:val="000000" w:themeColor="text1"/>
          <w:sz w:val="36"/>
          <w:szCs w:val="36"/>
          <w:highlight w:val="none"/>
          <w14:textFill>
            <w14:solidFill>
              <w14:schemeClr w14:val="tx1"/>
            </w14:solidFill>
          </w14:textFill>
        </w:rPr>
        <w:t>第五部分   评标原则及方法</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pPr>
        <w:tabs>
          <w:tab w:val="left" w:pos="2880"/>
        </w:tabs>
        <w:spacing w:line="440" w:lineRule="exact"/>
        <w:ind w:left="439" w:leftChars="209"/>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根据《温州市市属国有企业采购管理办法（试行）》等相关法规特制定以下评标办法。</w:t>
      </w:r>
    </w:p>
    <w:p>
      <w:pPr>
        <w:tabs>
          <w:tab w:val="left" w:pos="-142"/>
          <w:tab w:val="left" w:pos="142"/>
          <w:tab w:val="left" w:pos="1260"/>
        </w:tabs>
        <w:spacing w:line="400" w:lineRule="exact"/>
        <w:ind w:firstLine="425"/>
        <w:rPr>
          <w:rFonts w:hint="eastAsia" w:ascii="宋体" w:hAnsi="宋体" w:eastAsia="宋体" w:cs="宋体"/>
          <w:color w:val="000000" w:themeColor="text1"/>
          <w:sz w:val="22"/>
          <w:szCs w:val="22"/>
          <w:highlight w:val="none"/>
          <w14:textFill>
            <w14:solidFill>
              <w14:schemeClr w14:val="tx1"/>
            </w14:solidFill>
          </w14:textFill>
        </w:rPr>
      </w:pPr>
    </w:p>
    <w:p>
      <w:pPr>
        <w:tabs>
          <w:tab w:val="left" w:pos="-142"/>
          <w:tab w:val="left" w:pos="142"/>
          <w:tab w:val="left" w:pos="1260"/>
        </w:tabs>
        <w:spacing w:line="360" w:lineRule="auto"/>
        <w:ind w:firstLine="42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1.评审小组应在评审前，查验提交单一来源响应文件的供应商授权代表的有效身份证件、法人代表授权书。</w:t>
      </w:r>
    </w:p>
    <w:p>
      <w:pPr>
        <w:tabs>
          <w:tab w:val="left" w:pos="-142"/>
          <w:tab w:val="left" w:pos="142"/>
          <w:tab w:val="left" w:pos="1260"/>
        </w:tabs>
        <w:spacing w:line="360" w:lineRule="auto"/>
        <w:ind w:firstLine="42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2.采购代理机构依法组建的评审小组，对单一来源响应文件进行初审，供应商的报价只在评审小组内公开。</w:t>
      </w:r>
    </w:p>
    <w:p>
      <w:pPr>
        <w:tabs>
          <w:tab w:val="left" w:pos="-142"/>
          <w:tab w:val="left" w:pos="142"/>
          <w:tab w:val="left" w:pos="1260"/>
        </w:tabs>
        <w:spacing w:line="360" w:lineRule="auto"/>
        <w:ind w:firstLine="42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2.1符合性检查。根据采购文件的规定，从单一来源响应文件的有效性、完整性和对采购文件的响应程度进行审查，以确定是否对采购文件的实质性要求作出响应。</w:t>
      </w:r>
    </w:p>
    <w:p>
      <w:pPr>
        <w:tabs>
          <w:tab w:val="left" w:pos="-142"/>
          <w:tab w:val="left" w:pos="142"/>
          <w:tab w:val="left" w:pos="1260"/>
        </w:tabs>
        <w:spacing w:line="360" w:lineRule="auto"/>
        <w:ind w:firstLine="42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2.2审查报价有无计算上的错误，如评审时发现单一来源响应文件中价格计算有误，则按下列原则进行修正：</w:t>
      </w:r>
    </w:p>
    <w:p>
      <w:pPr>
        <w:tabs>
          <w:tab w:val="left" w:pos="-142"/>
          <w:tab w:val="left" w:pos="142"/>
          <w:tab w:val="left" w:pos="1260"/>
        </w:tabs>
        <w:spacing w:line="360" w:lineRule="auto"/>
        <w:ind w:firstLine="42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1）单一来源响应文件的大写金额与小写金额不一致时以大写金额为准。总价金额与按单价汇总金额不一致的，以单价金额计算结果为准，单价金额小数点有明显错位的，应以总价为准，并修正单价。</w:t>
      </w:r>
    </w:p>
    <w:p>
      <w:pPr>
        <w:tabs>
          <w:tab w:val="left" w:pos="-142"/>
          <w:tab w:val="left" w:pos="142"/>
          <w:tab w:val="left" w:pos="1260"/>
        </w:tabs>
        <w:spacing w:line="360" w:lineRule="auto"/>
        <w:ind w:firstLine="42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2）如果报价供应商不接受对其价格错误进行修正，其报价将被拒绝。</w:t>
      </w:r>
    </w:p>
    <w:p>
      <w:pPr>
        <w:tabs>
          <w:tab w:val="left" w:pos="-142"/>
          <w:tab w:val="left" w:pos="142"/>
          <w:tab w:val="left" w:pos="1260"/>
        </w:tabs>
        <w:spacing w:line="360" w:lineRule="auto"/>
        <w:ind w:firstLine="42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2.3实质上没有单一来源响应文件要求的报价将被拒绝。报价供应商不得通过修正或撤消不合要求的偏离或保留从而使其报价成为实质上响应的报价。</w:t>
      </w:r>
    </w:p>
    <w:p>
      <w:pPr>
        <w:tabs>
          <w:tab w:val="left" w:pos="-142"/>
          <w:tab w:val="left" w:pos="142"/>
          <w:tab w:val="left" w:pos="1260"/>
        </w:tabs>
        <w:spacing w:line="360" w:lineRule="auto"/>
        <w:ind w:firstLine="42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评审小组将对通过初审的单一来源响应文件进行评审，评审时，所有成员与单一供应商进行封闭式评审，评审内容包括供应商的报价、合同条款响应情况、交货组织计划、提供技术和服务方案、供应商的资信情况、企业综合能力、对项目的投入、售后服务承诺、优惠条款等方面。</w:t>
      </w:r>
    </w:p>
    <w:p>
      <w:pPr>
        <w:tabs>
          <w:tab w:val="left" w:pos="-142"/>
          <w:tab w:val="left" w:pos="142"/>
          <w:tab w:val="left" w:pos="1260"/>
        </w:tabs>
        <w:spacing w:line="360" w:lineRule="auto"/>
        <w:ind w:firstLine="42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4．评审过程中供应商有义务对评审小组就单一来源响应文件中不明确的条款进行澄清补充和调整，并在评审结束前，对澄清、补充、调整的相关内容以书面形式进行最终确认。</w:t>
      </w:r>
    </w:p>
    <w:p>
      <w:pPr>
        <w:tabs>
          <w:tab w:val="left" w:pos="-142"/>
          <w:tab w:val="left" w:pos="142"/>
          <w:tab w:val="left" w:pos="1260"/>
        </w:tabs>
        <w:spacing w:line="360" w:lineRule="auto"/>
        <w:ind w:firstLine="42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供货商提供的报价不是最终的采购价，在相关的需求、质量要求、价格、服务等得到相关澄清后，如有必要，评审小组可要求参加评审的供应商在规定时间内进行二次或三次报价，该报价将作为定标的重要依据。</w:t>
      </w:r>
    </w:p>
    <w:p>
      <w:pPr>
        <w:tabs>
          <w:tab w:val="left" w:pos="-142"/>
          <w:tab w:val="left" w:pos="142"/>
          <w:tab w:val="left" w:pos="1260"/>
        </w:tabs>
        <w:spacing w:line="360" w:lineRule="auto"/>
        <w:ind w:firstLine="425"/>
        <w:rPr>
          <w:rFonts w:hint="eastAsia" w:ascii="宋体" w:hAnsi="宋体" w:eastAsia="宋体" w:cs="宋体"/>
          <w:b/>
          <w:color w:val="000000" w:themeColor="text1"/>
          <w:sz w:val="22"/>
          <w:szCs w:val="22"/>
          <w:highlight w:val="none"/>
          <w:u w:val="single"/>
          <w14:textFill>
            <w14:solidFill>
              <w14:schemeClr w14:val="tx1"/>
            </w14:solidFill>
          </w14:textFill>
        </w:rPr>
      </w:pPr>
      <w:r>
        <w:rPr>
          <w:rFonts w:hint="eastAsia" w:ascii="宋体" w:hAnsi="宋体" w:eastAsia="宋体" w:cs="宋体"/>
          <w:b/>
          <w:color w:val="000000" w:themeColor="text1"/>
          <w:sz w:val="22"/>
          <w:szCs w:val="22"/>
          <w:highlight w:val="none"/>
          <w:u w:val="single"/>
          <w14:textFill>
            <w14:solidFill>
              <w14:schemeClr w14:val="tx1"/>
            </w14:solidFill>
          </w14:textFill>
        </w:rPr>
        <w:t>6.▲本项目采购预算为：</w:t>
      </w:r>
      <w:r>
        <w:rPr>
          <w:rFonts w:hint="eastAsia" w:ascii="宋体" w:hAnsi="宋体" w:eastAsia="宋体" w:cs="宋体"/>
          <w:b/>
          <w:color w:val="000000" w:themeColor="text1"/>
          <w:sz w:val="22"/>
          <w:szCs w:val="22"/>
          <w:highlight w:val="none"/>
          <w:u w:val="single"/>
          <w:lang w:eastAsia="zh-CN"/>
          <w14:textFill>
            <w14:solidFill>
              <w14:schemeClr w14:val="tx1"/>
            </w14:solidFill>
          </w14:textFill>
        </w:rPr>
        <w:t>480000</w:t>
      </w:r>
      <w:r>
        <w:rPr>
          <w:rFonts w:hint="eastAsia" w:ascii="宋体" w:hAnsi="宋体" w:eastAsia="宋体" w:cs="宋体"/>
          <w:b/>
          <w:color w:val="000000" w:themeColor="text1"/>
          <w:sz w:val="22"/>
          <w:szCs w:val="22"/>
          <w:highlight w:val="none"/>
          <w:u w:val="single"/>
          <w14:textFill>
            <w14:solidFill>
              <w14:schemeClr w14:val="tx1"/>
            </w14:solidFill>
          </w14:textFill>
        </w:rPr>
        <w:t>.00元，供应商最终报价超过采购预算，按无效标处理。</w:t>
      </w:r>
    </w:p>
    <w:p>
      <w:pPr>
        <w:tabs>
          <w:tab w:val="left" w:pos="-142"/>
          <w:tab w:val="left" w:pos="142"/>
          <w:tab w:val="left" w:pos="1260"/>
        </w:tabs>
        <w:spacing w:line="360" w:lineRule="auto"/>
        <w:ind w:firstLine="42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7.评审小组将评审情况及供应商的最终报价及承诺书形成评审报告向采购人提交。</w:t>
      </w:r>
    </w:p>
    <w:p>
      <w:pPr>
        <w:tabs>
          <w:tab w:val="left" w:pos="-142"/>
          <w:tab w:val="left" w:pos="142"/>
          <w:tab w:val="left" w:pos="1260"/>
        </w:tabs>
        <w:spacing w:line="360" w:lineRule="auto"/>
        <w:ind w:firstLine="42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8.采购人将根据评审小组提交的评审报告和评审结果，按照《温州市市属国有企业采购管理办法（试行）》的规定在保证采购项目质量和双方商定合理价格的基础上确定成交（成交）供应商。</w:t>
      </w:r>
    </w:p>
    <w:p>
      <w:pPr>
        <w:tabs>
          <w:tab w:val="left" w:pos="-142"/>
          <w:tab w:val="left" w:pos="142"/>
          <w:tab w:val="left" w:pos="1260"/>
        </w:tabs>
        <w:spacing w:line="360" w:lineRule="auto"/>
        <w:ind w:firstLine="42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9.评审结束后，采购代理机构将在</w:t>
      </w:r>
      <w:r>
        <w:rPr>
          <w:rFonts w:hint="eastAsia" w:ascii="宋体" w:hAnsi="宋体" w:eastAsia="宋体" w:cs="宋体"/>
          <w:sz w:val="22"/>
          <w:szCs w:val="22"/>
          <w:highlight w:val="none"/>
        </w:rPr>
        <w:t>浙江政府采购网、温州国企采购平台、</w:t>
      </w:r>
      <w:r>
        <w:rPr>
          <w:rFonts w:hint="eastAsia" w:ascii="宋体" w:hAnsi="宋体" w:eastAsia="宋体" w:cs="宋体"/>
          <w:color w:val="000000" w:themeColor="text1"/>
          <w:sz w:val="22"/>
          <w:szCs w:val="22"/>
          <w:highlight w:val="none"/>
          <w:lang w:eastAsia="zh-CN"/>
          <w14:textFill>
            <w14:solidFill>
              <w14:schemeClr w14:val="tx1"/>
            </w14:solidFill>
          </w14:textFill>
        </w:rPr>
        <w:t>温州市现代服务业发展集团有限公司网、浙江东方职业技术学院网</w:t>
      </w:r>
      <w:r>
        <w:rPr>
          <w:rFonts w:hint="eastAsia" w:ascii="宋体" w:hAnsi="宋体" w:eastAsia="宋体" w:cs="宋体"/>
          <w:color w:val="000000" w:themeColor="text1"/>
          <w:sz w:val="22"/>
          <w:szCs w:val="22"/>
          <w:highlight w:val="none"/>
          <w14:textFill>
            <w14:solidFill>
              <w14:schemeClr w14:val="tx1"/>
            </w14:solidFill>
          </w14:textFill>
        </w:rPr>
        <w:t>站上发布评审结果，公示期结束，如无异议，采购代理机构则向成交单位发成交（成交）通知书。</w:t>
      </w:r>
    </w:p>
    <w:p>
      <w:pPr>
        <w:tabs>
          <w:tab w:val="left" w:pos="2880"/>
        </w:tabs>
        <w:spacing w:line="440" w:lineRule="exact"/>
        <w:ind w:left="439" w:leftChars="209"/>
        <w:rPr>
          <w:rFonts w:hint="eastAsia" w:ascii="宋体" w:hAnsi="宋体" w:eastAsia="宋体" w:cs="宋体"/>
          <w:color w:val="000000" w:themeColor="text1"/>
          <w:highlight w:val="none"/>
          <w14:textFill>
            <w14:solidFill>
              <w14:schemeClr w14:val="tx1"/>
            </w14:solidFill>
          </w14:textFill>
        </w:rPr>
      </w:pPr>
    </w:p>
    <w:sectPr>
      <w:headerReference r:id="rId6" w:type="default"/>
      <w:pgSz w:w="11906" w:h="16838"/>
      <w:pgMar w:top="1134" w:right="1134" w:bottom="1134" w:left="1134"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宋体,Verdana,Arial">
    <w:altName w:val="宋体"/>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2"/>
      </w:rPr>
    </w:pPr>
    <w:r>
      <w:fldChar w:fldCharType="begin"/>
    </w:r>
    <w:r>
      <w:rPr>
        <w:rStyle w:val="32"/>
      </w:rPr>
      <w:instrText xml:space="preserve">PAGE  </w:instrText>
    </w:r>
    <w:r>
      <w:fldChar w:fldCharType="separate"/>
    </w:r>
    <w:r>
      <w:rPr>
        <w:rStyle w:val="32"/>
      </w:rPr>
      <w:t>2</w:t>
    </w:r>
    <w:r>
      <w:fldChar w:fldCharType="end"/>
    </w:r>
  </w:p>
  <w:p>
    <w:pPr>
      <w:pStyle w:val="19"/>
      <w:pBdr>
        <w:top w:val="single" w:color="auto" w:sz="4" w:space="1"/>
      </w:pBdr>
      <w:ind w:right="98" w:firstLine="4410" w:firstLineChars="245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2"/>
      </w:rPr>
    </w:pPr>
    <w:r>
      <w:fldChar w:fldCharType="begin"/>
    </w:r>
    <w:r>
      <w:rPr>
        <w:rStyle w:val="32"/>
      </w:rPr>
      <w:instrText xml:space="preserve">PAGE  </w:instrText>
    </w:r>
    <w:r>
      <w:fldChar w:fldCharType="end"/>
    </w:r>
  </w:p>
  <w:p>
    <w:pPr>
      <w:pStyle w:val="1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rPr>
        <w:rFonts w:ascii="宋体" w:hAnsi="宋体"/>
      </w:rPr>
    </w:pPr>
    <w:r>
      <w:rPr>
        <w:rFonts w:hint="eastAsia" w:ascii="宋体" w:hAnsi="宋体"/>
      </w:rPr>
      <w:t>温州市国有企业采购文件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rPr>
        <w:rFonts w:ascii="宋体" w:hAnsi="宋体"/>
      </w:rPr>
    </w:pPr>
    <w:r>
      <w:rPr>
        <w:rFonts w:hint="eastAsia" w:ascii="宋体" w:hAnsi="宋体"/>
      </w:rPr>
      <w:t>温州市国有企业采购采购文件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7BAACA"/>
    <w:multiLevelType w:val="singleLevel"/>
    <w:tmpl w:val="A07BAACA"/>
    <w:lvl w:ilvl="0" w:tentative="0">
      <w:start w:val="1"/>
      <w:numFmt w:val="decimal"/>
      <w:suff w:val="nothing"/>
      <w:lvlText w:val="（%1）"/>
      <w:lvlJc w:val="left"/>
    </w:lvl>
  </w:abstractNum>
  <w:abstractNum w:abstractNumId="1">
    <w:nsid w:val="E612A2FA"/>
    <w:multiLevelType w:val="singleLevel"/>
    <w:tmpl w:val="E612A2FA"/>
    <w:lvl w:ilvl="0" w:tentative="0">
      <w:start w:val="1"/>
      <w:numFmt w:val="decimal"/>
      <w:lvlText w:val="%1."/>
      <w:lvlJc w:val="left"/>
      <w:pPr>
        <w:tabs>
          <w:tab w:val="left" w:pos="312"/>
        </w:tabs>
      </w:pPr>
    </w:lvl>
  </w:abstractNum>
  <w:abstractNum w:abstractNumId="2">
    <w:nsid w:val="15DF4DF7"/>
    <w:multiLevelType w:val="multilevel"/>
    <w:tmpl w:val="15DF4DF7"/>
    <w:lvl w:ilvl="0" w:tentative="0">
      <w:start w:val="1"/>
      <w:numFmt w:val="bullet"/>
      <w:lvlText w:val=""/>
      <w:lvlJc w:val="left"/>
      <w:pPr>
        <w:ind w:left="885" w:hanging="420"/>
      </w:pPr>
      <w:rPr>
        <w:rFonts w:hint="default" w:ascii="Wingdings" w:hAnsi="Wingdings"/>
      </w:rPr>
    </w:lvl>
    <w:lvl w:ilvl="1" w:tentative="0">
      <w:start w:val="1"/>
      <w:numFmt w:val="bullet"/>
      <w:lvlText w:val=""/>
      <w:lvlJc w:val="left"/>
      <w:pPr>
        <w:ind w:left="1305" w:hanging="420"/>
      </w:pPr>
      <w:rPr>
        <w:rFonts w:hint="default" w:ascii="Wingdings" w:hAnsi="Wingdings"/>
      </w:rPr>
    </w:lvl>
    <w:lvl w:ilvl="2" w:tentative="0">
      <w:start w:val="1"/>
      <w:numFmt w:val="bullet"/>
      <w:lvlText w:val=""/>
      <w:lvlJc w:val="left"/>
      <w:pPr>
        <w:ind w:left="1725" w:hanging="420"/>
      </w:pPr>
      <w:rPr>
        <w:rFonts w:hint="default" w:ascii="Wingdings" w:hAnsi="Wingdings"/>
      </w:rPr>
    </w:lvl>
    <w:lvl w:ilvl="3" w:tentative="0">
      <w:start w:val="1"/>
      <w:numFmt w:val="bullet"/>
      <w:lvlText w:val=""/>
      <w:lvlJc w:val="left"/>
      <w:pPr>
        <w:ind w:left="2145" w:hanging="420"/>
      </w:pPr>
      <w:rPr>
        <w:rFonts w:hint="default" w:ascii="Wingdings" w:hAnsi="Wingdings"/>
      </w:rPr>
    </w:lvl>
    <w:lvl w:ilvl="4" w:tentative="0">
      <w:start w:val="1"/>
      <w:numFmt w:val="bullet"/>
      <w:lvlText w:val=""/>
      <w:lvlJc w:val="left"/>
      <w:pPr>
        <w:ind w:left="2565" w:hanging="420"/>
      </w:pPr>
      <w:rPr>
        <w:rFonts w:hint="default" w:ascii="Wingdings" w:hAnsi="Wingdings"/>
      </w:rPr>
    </w:lvl>
    <w:lvl w:ilvl="5" w:tentative="0">
      <w:start w:val="1"/>
      <w:numFmt w:val="bullet"/>
      <w:lvlText w:val=""/>
      <w:lvlJc w:val="left"/>
      <w:pPr>
        <w:ind w:left="2985" w:hanging="420"/>
      </w:pPr>
      <w:rPr>
        <w:rFonts w:hint="default" w:ascii="Wingdings" w:hAnsi="Wingdings"/>
      </w:rPr>
    </w:lvl>
    <w:lvl w:ilvl="6" w:tentative="0">
      <w:start w:val="1"/>
      <w:numFmt w:val="bullet"/>
      <w:lvlText w:val=""/>
      <w:lvlJc w:val="left"/>
      <w:pPr>
        <w:ind w:left="3405" w:hanging="420"/>
      </w:pPr>
      <w:rPr>
        <w:rFonts w:hint="default" w:ascii="Wingdings" w:hAnsi="Wingdings"/>
      </w:rPr>
    </w:lvl>
    <w:lvl w:ilvl="7" w:tentative="0">
      <w:start w:val="1"/>
      <w:numFmt w:val="bullet"/>
      <w:lvlText w:val=""/>
      <w:lvlJc w:val="left"/>
      <w:pPr>
        <w:ind w:left="3825" w:hanging="420"/>
      </w:pPr>
      <w:rPr>
        <w:rFonts w:hint="default" w:ascii="Wingdings" w:hAnsi="Wingdings"/>
      </w:rPr>
    </w:lvl>
    <w:lvl w:ilvl="8" w:tentative="0">
      <w:start w:val="1"/>
      <w:numFmt w:val="bullet"/>
      <w:lvlText w:val=""/>
      <w:lvlJc w:val="left"/>
      <w:pPr>
        <w:ind w:left="4245" w:hanging="42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0ZDBjZGUxZTRhYzNhODhhZDhlN2M2ZGRmZjhmNDEifQ=="/>
  </w:docVars>
  <w:rsids>
    <w:rsidRoot w:val="00C0263E"/>
    <w:rsid w:val="000009F5"/>
    <w:rsid w:val="00001380"/>
    <w:rsid w:val="00001862"/>
    <w:rsid w:val="00002CB1"/>
    <w:rsid w:val="0000340D"/>
    <w:rsid w:val="00003A66"/>
    <w:rsid w:val="000053C0"/>
    <w:rsid w:val="000066EF"/>
    <w:rsid w:val="00010F67"/>
    <w:rsid w:val="00011067"/>
    <w:rsid w:val="0001120F"/>
    <w:rsid w:val="00014C8E"/>
    <w:rsid w:val="00015251"/>
    <w:rsid w:val="000157E0"/>
    <w:rsid w:val="00016969"/>
    <w:rsid w:val="000237A7"/>
    <w:rsid w:val="000238E0"/>
    <w:rsid w:val="00023A93"/>
    <w:rsid w:val="0002410C"/>
    <w:rsid w:val="00025CDD"/>
    <w:rsid w:val="00026C3B"/>
    <w:rsid w:val="00030937"/>
    <w:rsid w:val="00033405"/>
    <w:rsid w:val="000345EB"/>
    <w:rsid w:val="00034BF8"/>
    <w:rsid w:val="00035750"/>
    <w:rsid w:val="00035CCB"/>
    <w:rsid w:val="00035E87"/>
    <w:rsid w:val="00036806"/>
    <w:rsid w:val="00037E91"/>
    <w:rsid w:val="00040402"/>
    <w:rsid w:val="00041329"/>
    <w:rsid w:val="00042E2F"/>
    <w:rsid w:val="0005052D"/>
    <w:rsid w:val="000506B4"/>
    <w:rsid w:val="000508A2"/>
    <w:rsid w:val="000515F3"/>
    <w:rsid w:val="00052EC4"/>
    <w:rsid w:val="00053B42"/>
    <w:rsid w:val="000548DE"/>
    <w:rsid w:val="00054D5C"/>
    <w:rsid w:val="00054FC6"/>
    <w:rsid w:val="000560AE"/>
    <w:rsid w:val="00060505"/>
    <w:rsid w:val="000611E3"/>
    <w:rsid w:val="000622C1"/>
    <w:rsid w:val="0006286C"/>
    <w:rsid w:val="00063E50"/>
    <w:rsid w:val="000641F8"/>
    <w:rsid w:val="0006448F"/>
    <w:rsid w:val="00064F67"/>
    <w:rsid w:val="0006544C"/>
    <w:rsid w:val="000722C5"/>
    <w:rsid w:val="00072310"/>
    <w:rsid w:val="0007247B"/>
    <w:rsid w:val="00073304"/>
    <w:rsid w:val="00073884"/>
    <w:rsid w:val="00074B78"/>
    <w:rsid w:val="00076CC2"/>
    <w:rsid w:val="0008019F"/>
    <w:rsid w:val="000803DE"/>
    <w:rsid w:val="00081E28"/>
    <w:rsid w:val="0008207A"/>
    <w:rsid w:val="00082463"/>
    <w:rsid w:val="00082F17"/>
    <w:rsid w:val="000832C8"/>
    <w:rsid w:val="000861D1"/>
    <w:rsid w:val="00087AB3"/>
    <w:rsid w:val="00087F08"/>
    <w:rsid w:val="000930EA"/>
    <w:rsid w:val="00094254"/>
    <w:rsid w:val="00095314"/>
    <w:rsid w:val="00096ABD"/>
    <w:rsid w:val="000A2D8C"/>
    <w:rsid w:val="000A328D"/>
    <w:rsid w:val="000A415B"/>
    <w:rsid w:val="000A4DF8"/>
    <w:rsid w:val="000A5466"/>
    <w:rsid w:val="000A5ADF"/>
    <w:rsid w:val="000A63F5"/>
    <w:rsid w:val="000A7842"/>
    <w:rsid w:val="000B02F2"/>
    <w:rsid w:val="000B09D6"/>
    <w:rsid w:val="000B1182"/>
    <w:rsid w:val="000B1199"/>
    <w:rsid w:val="000B36A7"/>
    <w:rsid w:val="000B4145"/>
    <w:rsid w:val="000B4ACA"/>
    <w:rsid w:val="000B5A18"/>
    <w:rsid w:val="000B5DD6"/>
    <w:rsid w:val="000B5FCA"/>
    <w:rsid w:val="000C0E15"/>
    <w:rsid w:val="000C6C6F"/>
    <w:rsid w:val="000C6EB6"/>
    <w:rsid w:val="000C7809"/>
    <w:rsid w:val="000C79AC"/>
    <w:rsid w:val="000C7CBF"/>
    <w:rsid w:val="000D73D9"/>
    <w:rsid w:val="000E10DB"/>
    <w:rsid w:val="000E2553"/>
    <w:rsid w:val="000E2A62"/>
    <w:rsid w:val="000E6B70"/>
    <w:rsid w:val="000E75FB"/>
    <w:rsid w:val="000F0294"/>
    <w:rsid w:val="000F1FBE"/>
    <w:rsid w:val="000F2728"/>
    <w:rsid w:val="000F3619"/>
    <w:rsid w:val="000F75A7"/>
    <w:rsid w:val="000F79A4"/>
    <w:rsid w:val="000F7AE5"/>
    <w:rsid w:val="000F7C73"/>
    <w:rsid w:val="000F7EFA"/>
    <w:rsid w:val="00101644"/>
    <w:rsid w:val="00101AC0"/>
    <w:rsid w:val="001020F4"/>
    <w:rsid w:val="001030C6"/>
    <w:rsid w:val="0010568D"/>
    <w:rsid w:val="001064A6"/>
    <w:rsid w:val="0010684A"/>
    <w:rsid w:val="00112030"/>
    <w:rsid w:val="0011478A"/>
    <w:rsid w:val="00114C64"/>
    <w:rsid w:val="001156FE"/>
    <w:rsid w:val="00123BAD"/>
    <w:rsid w:val="001263CA"/>
    <w:rsid w:val="001266BF"/>
    <w:rsid w:val="00130AF0"/>
    <w:rsid w:val="00131E83"/>
    <w:rsid w:val="0013221F"/>
    <w:rsid w:val="001325EF"/>
    <w:rsid w:val="00132C17"/>
    <w:rsid w:val="00133211"/>
    <w:rsid w:val="00134351"/>
    <w:rsid w:val="001367AF"/>
    <w:rsid w:val="0013760C"/>
    <w:rsid w:val="001377FC"/>
    <w:rsid w:val="00137F40"/>
    <w:rsid w:val="00140223"/>
    <w:rsid w:val="0014047B"/>
    <w:rsid w:val="00143117"/>
    <w:rsid w:val="00143A6A"/>
    <w:rsid w:val="0014546D"/>
    <w:rsid w:val="00146114"/>
    <w:rsid w:val="00146369"/>
    <w:rsid w:val="0014791A"/>
    <w:rsid w:val="00150AA7"/>
    <w:rsid w:val="001528EB"/>
    <w:rsid w:val="00153731"/>
    <w:rsid w:val="00155310"/>
    <w:rsid w:val="00155BB9"/>
    <w:rsid w:val="00156F66"/>
    <w:rsid w:val="0016030B"/>
    <w:rsid w:val="00161AF3"/>
    <w:rsid w:val="00161CFC"/>
    <w:rsid w:val="00161EA2"/>
    <w:rsid w:val="00162A58"/>
    <w:rsid w:val="00162E8F"/>
    <w:rsid w:val="00163C20"/>
    <w:rsid w:val="001644BD"/>
    <w:rsid w:val="001671DC"/>
    <w:rsid w:val="0016795B"/>
    <w:rsid w:val="0017045C"/>
    <w:rsid w:val="0017187B"/>
    <w:rsid w:val="001745BC"/>
    <w:rsid w:val="00174EB3"/>
    <w:rsid w:val="00175520"/>
    <w:rsid w:val="00175C00"/>
    <w:rsid w:val="00180634"/>
    <w:rsid w:val="00183F0E"/>
    <w:rsid w:val="00184846"/>
    <w:rsid w:val="00186674"/>
    <w:rsid w:val="001866ED"/>
    <w:rsid w:val="00186E00"/>
    <w:rsid w:val="00186E54"/>
    <w:rsid w:val="00187CAD"/>
    <w:rsid w:val="001922E1"/>
    <w:rsid w:val="00193B17"/>
    <w:rsid w:val="0019491C"/>
    <w:rsid w:val="00194C26"/>
    <w:rsid w:val="0019588E"/>
    <w:rsid w:val="00195C4F"/>
    <w:rsid w:val="00196551"/>
    <w:rsid w:val="001965D6"/>
    <w:rsid w:val="00197748"/>
    <w:rsid w:val="00197786"/>
    <w:rsid w:val="001A0B61"/>
    <w:rsid w:val="001A30EE"/>
    <w:rsid w:val="001A370B"/>
    <w:rsid w:val="001A57FA"/>
    <w:rsid w:val="001A6C5A"/>
    <w:rsid w:val="001A709E"/>
    <w:rsid w:val="001B1B9B"/>
    <w:rsid w:val="001B2696"/>
    <w:rsid w:val="001B28CB"/>
    <w:rsid w:val="001B45D2"/>
    <w:rsid w:val="001B5B34"/>
    <w:rsid w:val="001C0431"/>
    <w:rsid w:val="001C239E"/>
    <w:rsid w:val="001C5EFC"/>
    <w:rsid w:val="001C6F26"/>
    <w:rsid w:val="001D11DE"/>
    <w:rsid w:val="001D2CF5"/>
    <w:rsid w:val="001D62CD"/>
    <w:rsid w:val="001D63C0"/>
    <w:rsid w:val="001D6B9A"/>
    <w:rsid w:val="001D76AB"/>
    <w:rsid w:val="001E013B"/>
    <w:rsid w:val="001E0520"/>
    <w:rsid w:val="001E376F"/>
    <w:rsid w:val="001E5BCD"/>
    <w:rsid w:val="001E726C"/>
    <w:rsid w:val="001E7281"/>
    <w:rsid w:val="001F169F"/>
    <w:rsid w:val="001F24A5"/>
    <w:rsid w:val="001F362D"/>
    <w:rsid w:val="001F3B6E"/>
    <w:rsid w:val="001F430D"/>
    <w:rsid w:val="001F69BE"/>
    <w:rsid w:val="00200121"/>
    <w:rsid w:val="00201E84"/>
    <w:rsid w:val="00201FC4"/>
    <w:rsid w:val="00205213"/>
    <w:rsid w:val="00211497"/>
    <w:rsid w:val="00212117"/>
    <w:rsid w:val="0021355F"/>
    <w:rsid w:val="00213866"/>
    <w:rsid w:val="00214475"/>
    <w:rsid w:val="00215B9A"/>
    <w:rsid w:val="00216E04"/>
    <w:rsid w:val="00220A8C"/>
    <w:rsid w:val="00220B37"/>
    <w:rsid w:val="00221867"/>
    <w:rsid w:val="00221B97"/>
    <w:rsid w:val="002225DC"/>
    <w:rsid w:val="002241B4"/>
    <w:rsid w:val="00224B8F"/>
    <w:rsid w:val="00225F76"/>
    <w:rsid w:val="00226492"/>
    <w:rsid w:val="002313F6"/>
    <w:rsid w:val="00231563"/>
    <w:rsid w:val="002352A0"/>
    <w:rsid w:val="002357FB"/>
    <w:rsid w:val="002358F4"/>
    <w:rsid w:val="00237A3B"/>
    <w:rsid w:val="00240C65"/>
    <w:rsid w:val="00241F03"/>
    <w:rsid w:val="00242271"/>
    <w:rsid w:val="00242A63"/>
    <w:rsid w:val="00242B3E"/>
    <w:rsid w:val="00243AC5"/>
    <w:rsid w:val="00243B0E"/>
    <w:rsid w:val="00243E6E"/>
    <w:rsid w:val="00244F16"/>
    <w:rsid w:val="0024772A"/>
    <w:rsid w:val="00250036"/>
    <w:rsid w:val="00251A22"/>
    <w:rsid w:val="0025244C"/>
    <w:rsid w:val="00254330"/>
    <w:rsid w:val="00254A99"/>
    <w:rsid w:val="00256997"/>
    <w:rsid w:val="00257CBE"/>
    <w:rsid w:val="00260378"/>
    <w:rsid w:val="00262E17"/>
    <w:rsid w:val="00263C46"/>
    <w:rsid w:val="002646F0"/>
    <w:rsid w:val="002652D9"/>
    <w:rsid w:val="002659A6"/>
    <w:rsid w:val="0026651F"/>
    <w:rsid w:val="0026693E"/>
    <w:rsid w:val="00266CE8"/>
    <w:rsid w:val="00272CB0"/>
    <w:rsid w:val="002740B9"/>
    <w:rsid w:val="00275C95"/>
    <w:rsid w:val="00276BF9"/>
    <w:rsid w:val="002770B7"/>
    <w:rsid w:val="00277460"/>
    <w:rsid w:val="00280A65"/>
    <w:rsid w:val="00280FEF"/>
    <w:rsid w:val="0028109A"/>
    <w:rsid w:val="00281DDC"/>
    <w:rsid w:val="00282FD5"/>
    <w:rsid w:val="002835DD"/>
    <w:rsid w:val="00286DD8"/>
    <w:rsid w:val="0029043C"/>
    <w:rsid w:val="00291B72"/>
    <w:rsid w:val="00291D32"/>
    <w:rsid w:val="00292455"/>
    <w:rsid w:val="00292814"/>
    <w:rsid w:val="00294454"/>
    <w:rsid w:val="00295F60"/>
    <w:rsid w:val="00297173"/>
    <w:rsid w:val="002A051B"/>
    <w:rsid w:val="002A07BE"/>
    <w:rsid w:val="002A3C3D"/>
    <w:rsid w:val="002A4A0D"/>
    <w:rsid w:val="002A6BD5"/>
    <w:rsid w:val="002B038E"/>
    <w:rsid w:val="002B1A3C"/>
    <w:rsid w:val="002B1C31"/>
    <w:rsid w:val="002B2154"/>
    <w:rsid w:val="002B242A"/>
    <w:rsid w:val="002B41F4"/>
    <w:rsid w:val="002B4A6A"/>
    <w:rsid w:val="002B4D23"/>
    <w:rsid w:val="002C26CC"/>
    <w:rsid w:val="002C3295"/>
    <w:rsid w:val="002C4012"/>
    <w:rsid w:val="002C6542"/>
    <w:rsid w:val="002C6AE5"/>
    <w:rsid w:val="002D1214"/>
    <w:rsid w:val="002D2BB7"/>
    <w:rsid w:val="002D3563"/>
    <w:rsid w:val="002D6CCA"/>
    <w:rsid w:val="002E09BA"/>
    <w:rsid w:val="002E1F1D"/>
    <w:rsid w:val="002E3588"/>
    <w:rsid w:val="002E414F"/>
    <w:rsid w:val="002E4C31"/>
    <w:rsid w:val="002E4D98"/>
    <w:rsid w:val="002E4FC2"/>
    <w:rsid w:val="002E621E"/>
    <w:rsid w:val="002E7FC6"/>
    <w:rsid w:val="002F04B7"/>
    <w:rsid w:val="002F2128"/>
    <w:rsid w:val="002F2CC3"/>
    <w:rsid w:val="002F31D8"/>
    <w:rsid w:val="002F4EE5"/>
    <w:rsid w:val="002F6F42"/>
    <w:rsid w:val="0030021B"/>
    <w:rsid w:val="00300CB2"/>
    <w:rsid w:val="00300F9E"/>
    <w:rsid w:val="003051A4"/>
    <w:rsid w:val="00306C91"/>
    <w:rsid w:val="00307EEB"/>
    <w:rsid w:val="00307F4F"/>
    <w:rsid w:val="00310B99"/>
    <w:rsid w:val="00311CAC"/>
    <w:rsid w:val="003132EF"/>
    <w:rsid w:val="00313693"/>
    <w:rsid w:val="00314DC2"/>
    <w:rsid w:val="00315395"/>
    <w:rsid w:val="00315A56"/>
    <w:rsid w:val="00315C51"/>
    <w:rsid w:val="00316675"/>
    <w:rsid w:val="00316A41"/>
    <w:rsid w:val="003202BA"/>
    <w:rsid w:val="0032241D"/>
    <w:rsid w:val="003227D9"/>
    <w:rsid w:val="00324A0A"/>
    <w:rsid w:val="00325D8E"/>
    <w:rsid w:val="003276D1"/>
    <w:rsid w:val="003316FD"/>
    <w:rsid w:val="00331756"/>
    <w:rsid w:val="00333B48"/>
    <w:rsid w:val="00334E84"/>
    <w:rsid w:val="00335FD1"/>
    <w:rsid w:val="0033603E"/>
    <w:rsid w:val="003368DD"/>
    <w:rsid w:val="003409C2"/>
    <w:rsid w:val="00341BF5"/>
    <w:rsid w:val="0034506F"/>
    <w:rsid w:val="00346D10"/>
    <w:rsid w:val="003475ED"/>
    <w:rsid w:val="00347A0A"/>
    <w:rsid w:val="00350E2E"/>
    <w:rsid w:val="003527E3"/>
    <w:rsid w:val="003564E1"/>
    <w:rsid w:val="00356C77"/>
    <w:rsid w:val="00356D20"/>
    <w:rsid w:val="00357014"/>
    <w:rsid w:val="00360BC0"/>
    <w:rsid w:val="00361E7B"/>
    <w:rsid w:val="00362A3D"/>
    <w:rsid w:val="003676A9"/>
    <w:rsid w:val="003706F7"/>
    <w:rsid w:val="00371F2C"/>
    <w:rsid w:val="00372732"/>
    <w:rsid w:val="00372A07"/>
    <w:rsid w:val="00372CDC"/>
    <w:rsid w:val="00372D8B"/>
    <w:rsid w:val="0037534C"/>
    <w:rsid w:val="00375AEB"/>
    <w:rsid w:val="0037609C"/>
    <w:rsid w:val="003802B8"/>
    <w:rsid w:val="00383814"/>
    <w:rsid w:val="00383844"/>
    <w:rsid w:val="00384395"/>
    <w:rsid w:val="00384768"/>
    <w:rsid w:val="0038509B"/>
    <w:rsid w:val="00385F49"/>
    <w:rsid w:val="00385FF4"/>
    <w:rsid w:val="00390522"/>
    <w:rsid w:val="0039192B"/>
    <w:rsid w:val="00391BB8"/>
    <w:rsid w:val="003A0DB0"/>
    <w:rsid w:val="003A10E2"/>
    <w:rsid w:val="003A1B28"/>
    <w:rsid w:val="003A1EE2"/>
    <w:rsid w:val="003A445D"/>
    <w:rsid w:val="003A4479"/>
    <w:rsid w:val="003A5399"/>
    <w:rsid w:val="003A5B10"/>
    <w:rsid w:val="003A6AC6"/>
    <w:rsid w:val="003A6F84"/>
    <w:rsid w:val="003B0436"/>
    <w:rsid w:val="003B0B28"/>
    <w:rsid w:val="003B134F"/>
    <w:rsid w:val="003B2058"/>
    <w:rsid w:val="003B4F56"/>
    <w:rsid w:val="003B5792"/>
    <w:rsid w:val="003B5C88"/>
    <w:rsid w:val="003B69CA"/>
    <w:rsid w:val="003B7911"/>
    <w:rsid w:val="003C1C86"/>
    <w:rsid w:val="003C22CE"/>
    <w:rsid w:val="003C527B"/>
    <w:rsid w:val="003C5441"/>
    <w:rsid w:val="003C56FA"/>
    <w:rsid w:val="003C5F9D"/>
    <w:rsid w:val="003C66ED"/>
    <w:rsid w:val="003C6940"/>
    <w:rsid w:val="003C7017"/>
    <w:rsid w:val="003C7F0C"/>
    <w:rsid w:val="003D06B1"/>
    <w:rsid w:val="003D0900"/>
    <w:rsid w:val="003D1EC8"/>
    <w:rsid w:val="003D7756"/>
    <w:rsid w:val="003D7CE8"/>
    <w:rsid w:val="003E1388"/>
    <w:rsid w:val="003E25BE"/>
    <w:rsid w:val="003E31FB"/>
    <w:rsid w:val="003E3905"/>
    <w:rsid w:val="003E3CFF"/>
    <w:rsid w:val="003E50DF"/>
    <w:rsid w:val="003E73A5"/>
    <w:rsid w:val="003E7E19"/>
    <w:rsid w:val="003F1618"/>
    <w:rsid w:val="003F1DEC"/>
    <w:rsid w:val="003F21CF"/>
    <w:rsid w:val="003F279A"/>
    <w:rsid w:val="003F3104"/>
    <w:rsid w:val="003F46CF"/>
    <w:rsid w:val="003F5868"/>
    <w:rsid w:val="003F6C73"/>
    <w:rsid w:val="00401278"/>
    <w:rsid w:val="0040168C"/>
    <w:rsid w:val="00401AFB"/>
    <w:rsid w:val="00403D22"/>
    <w:rsid w:val="00404353"/>
    <w:rsid w:val="004061E8"/>
    <w:rsid w:val="00406893"/>
    <w:rsid w:val="00407A5F"/>
    <w:rsid w:val="00410D1B"/>
    <w:rsid w:val="004112AA"/>
    <w:rsid w:val="00412C8D"/>
    <w:rsid w:val="00413B2D"/>
    <w:rsid w:val="00414619"/>
    <w:rsid w:val="00414714"/>
    <w:rsid w:val="00415935"/>
    <w:rsid w:val="00415D57"/>
    <w:rsid w:val="004179AC"/>
    <w:rsid w:val="00420438"/>
    <w:rsid w:val="00420A03"/>
    <w:rsid w:val="0042103B"/>
    <w:rsid w:val="004218E1"/>
    <w:rsid w:val="00421DA6"/>
    <w:rsid w:val="00424BCF"/>
    <w:rsid w:val="00424DFD"/>
    <w:rsid w:val="00425EA7"/>
    <w:rsid w:val="00426C0F"/>
    <w:rsid w:val="00426CD8"/>
    <w:rsid w:val="00426F87"/>
    <w:rsid w:val="0042780F"/>
    <w:rsid w:val="004336E3"/>
    <w:rsid w:val="0043374D"/>
    <w:rsid w:val="00434D28"/>
    <w:rsid w:val="00434FE6"/>
    <w:rsid w:val="004366E2"/>
    <w:rsid w:val="00437627"/>
    <w:rsid w:val="00440CB1"/>
    <w:rsid w:val="0044172D"/>
    <w:rsid w:val="00442574"/>
    <w:rsid w:val="00444956"/>
    <w:rsid w:val="00446780"/>
    <w:rsid w:val="00446A8C"/>
    <w:rsid w:val="00447DCA"/>
    <w:rsid w:val="00451F48"/>
    <w:rsid w:val="00453521"/>
    <w:rsid w:val="004552D9"/>
    <w:rsid w:val="00460EB0"/>
    <w:rsid w:val="00464371"/>
    <w:rsid w:val="004648CB"/>
    <w:rsid w:val="004652EE"/>
    <w:rsid w:val="00465E8E"/>
    <w:rsid w:val="00467509"/>
    <w:rsid w:val="004718DC"/>
    <w:rsid w:val="00472C88"/>
    <w:rsid w:val="00474A33"/>
    <w:rsid w:val="00475851"/>
    <w:rsid w:val="004761D2"/>
    <w:rsid w:val="00476775"/>
    <w:rsid w:val="004819A1"/>
    <w:rsid w:val="00481A01"/>
    <w:rsid w:val="0048318B"/>
    <w:rsid w:val="00484673"/>
    <w:rsid w:val="00485076"/>
    <w:rsid w:val="00486DDE"/>
    <w:rsid w:val="0048774A"/>
    <w:rsid w:val="00487C5F"/>
    <w:rsid w:val="00487FE2"/>
    <w:rsid w:val="00493D1A"/>
    <w:rsid w:val="00495D8E"/>
    <w:rsid w:val="00496FF4"/>
    <w:rsid w:val="00497771"/>
    <w:rsid w:val="00497DD5"/>
    <w:rsid w:val="004A0195"/>
    <w:rsid w:val="004A081D"/>
    <w:rsid w:val="004A1DBF"/>
    <w:rsid w:val="004A2722"/>
    <w:rsid w:val="004A3435"/>
    <w:rsid w:val="004A5B46"/>
    <w:rsid w:val="004A622C"/>
    <w:rsid w:val="004A7735"/>
    <w:rsid w:val="004B2188"/>
    <w:rsid w:val="004B2461"/>
    <w:rsid w:val="004B27CE"/>
    <w:rsid w:val="004B3EC8"/>
    <w:rsid w:val="004B481A"/>
    <w:rsid w:val="004C1BB5"/>
    <w:rsid w:val="004C40CD"/>
    <w:rsid w:val="004C4CF2"/>
    <w:rsid w:val="004C6CB1"/>
    <w:rsid w:val="004D1BE7"/>
    <w:rsid w:val="004D27C2"/>
    <w:rsid w:val="004D2C24"/>
    <w:rsid w:val="004D58A7"/>
    <w:rsid w:val="004D61B2"/>
    <w:rsid w:val="004D6E68"/>
    <w:rsid w:val="004D762F"/>
    <w:rsid w:val="004E2A89"/>
    <w:rsid w:val="004E662E"/>
    <w:rsid w:val="004E7A7B"/>
    <w:rsid w:val="004E7DFD"/>
    <w:rsid w:val="004F0A29"/>
    <w:rsid w:val="004F0BF0"/>
    <w:rsid w:val="004F266F"/>
    <w:rsid w:val="004F2956"/>
    <w:rsid w:val="004F2B35"/>
    <w:rsid w:val="004F31EF"/>
    <w:rsid w:val="004F413C"/>
    <w:rsid w:val="004F4CB1"/>
    <w:rsid w:val="004F4F3B"/>
    <w:rsid w:val="004F5B81"/>
    <w:rsid w:val="004F6D20"/>
    <w:rsid w:val="004F70F5"/>
    <w:rsid w:val="004F7551"/>
    <w:rsid w:val="004F7C05"/>
    <w:rsid w:val="004F7DBE"/>
    <w:rsid w:val="00501542"/>
    <w:rsid w:val="00501E25"/>
    <w:rsid w:val="005022C1"/>
    <w:rsid w:val="00504C8A"/>
    <w:rsid w:val="00507C38"/>
    <w:rsid w:val="00507CAD"/>
    <w:rsid w:val="00507DE6"/>
    <w:rsid w:val="005108FA"/>
    <w:rsid w:val="00510C30"/>
    <w:rsid w:val="005120A7"/>
    <w:rsid w:val="0051280D"/>
    <w:rsid w:val="00513E50"/>
    <w:rsid w:val="0051489B"/>
    <w:rsid w:val="005155A9"/>
    <w:rsid w:val="00523418"/>
    <w:rsid w:val="0052411B"/>
    <w:rsid w:val="005252AC"/>
    <w:rsid w:val="005257AA"/>
    <w:rsid w:val="00526AE5"/>
    <w:rsid w:val="00532116"/>
    <w:rsid w:val="00533354"/>
    <w:rsid w:val="005337BB"/>
    <w:rsid w:val="0053581D"/>
    <w:rsid w:val="005361A6"/>
    <w:rsid w:val="005365A4"/>
    <w:rsid w:val="00541069"/>
    <w:rsid w:val="00541AD1"/>
    <w:rsid w:val="00541CCF"/>
    <w:rsid w:val="00541FA4"/>
    <w:rsid w:val="00542780"/>
    <w:rsid w:val="00542910"/>
    <w:rsid w:val="00542A9F"/>
    <w:rsid w:val="00544489"/>
    <w:rsid w:val="00545D1F"/>
    <w:rsid w:val="005464D8"/>
    <w:rsid w:val="00547D79"/>
    <w:rsid w:val="005500BF"/>
    <w:rsid w:val="00550294"/>
    <w:rsid w:val="00550A9D"/>
    <w:rsid w:val="0055146E"/>
    <w:rsid w:val="0055208E"/>
    <w:rsid w:val="00552790"/>
    <w:rsid w:val="00554FA5"/>
    <w:rsid w:val="00561A39"/>
    <w:rsid w:val="00562458"/>
    <w:rsid w:val="00563B3E"/>
    <w:rsid w:val="00563E31"/>
    <w:rsid w:val="005649F0"/>
    <w:rsid w:val="00567387"/>
    <w:rsid w:val="00573929"/>
    <w:rsid w:val="0057403F"/>
    <w:rsid w:val="0057413F"/>
    <w:rsid w:val="00580104"/>
    <w:rsid w:val="00581B85"/>
    <w:rsid w:val="00581C75"/>
    <w:rsid w:val="0058232E"/>
    <w:rsid w:val="0058391D"/>
    <w:rsid w:val="00585AE0"/>
    <w:rsid w:val="00586470"/>
    <w:rsid w:val="00590404"/>
    <w:rsid w:val="005908A0"/>
    <w:rsid w:val="00592D16"/>
    <w:rsid w:val="00593B07"/>
    <w:rsid w:val="00593D97"/>
    <w:rsid w:val="0059402E"/>
    <w:rsid w:val="0059433D"/>
    <w:rsid w:val="00594608"/>
    <w:rsid w:val="00594766"/>
    <w:rsid w:val="0059698F"/>
    <w:rsid w:val="00597270"/>
    <w:rsid w:val="005977E7"/>
    <w:rsid w:val="005A0979"/>
    <w:rsid w:val="005A0C07"/>
    <w:rsid w:val="005A112D"/>
    <w:rsid w:val="005A226E"/>
    <w:rsid w:val="005A2579"/>
    <w:rsid w:val="005A26EF"/>
    <w:rsid w:val="005A5577"/>
    <w:rsid w:val="005A5BF6"/>
    <w:rsid w:val="005A6761"/>
    <w:rsid w:val="005B0109"/>
    <w:rsid w:val="005B0E8C"/>
    <w:rsid w:val="005B3421"/>
    <w:rsid w:val="005B56A2"/>
    <w:rsid w:val="005B645C"/>
    <w:rsid w:val="005C0E93"/>
    <w:rsid w:val="005C309B"/>
    <w:rsid w:val="005C38A1"/>
    <w:rsid w:val="005C3E22"/>
    <w:rsid w:val="005C4229"/>
    <w:rsid w:val="005C6650"/>
    <w:rsid w:val="005C6899"/>
    <w:rsid w:val="005D1AE8"/>
    <w:rsid w:val="005D2E07"/>
    <w:rsid w:val="005D2FE3"/>
    <w:rsid w:val="005D3C90"/>
    <w:rsid w:val="005D4120"/>
    <w:rsid w:val="005D4F28"/>
    <w:rsid w:val="005E052F"/>
    <w:rsid w:val="005E0FF7"/>
    <w:rsid w:val="005E2264"/>
    <w:rsid w:val="005E3D2F"/>
    <w:rsid w:val="005E4A93"/>
    <w:rsid w:val="005E65D6"/>
    <w:rsid w:val="005E79EF"/>
    <w:rsid w:val="005E7B5F"/>
    <w:rsid w:val="005F11D1"/>
    <w:rsid w:val="005F2A2E"/>
    <w:rsid w:val="005F3416"/>
    <w:rsid w:val="005F3A7B"/>
    <w:rsid w:val="005F6C3A"/>
    <w:rsid w:val="006027FB"/>
    <w:rsid w:val="006028B0"/>
    <w:rsid w:val="00603948"/>
    <w:rsid w:val="00603D90"/>
    <w:rsid w:val="0060545D"/>
    <w:rsid w:val="00605A96"/>
    <w:rsid w:val="00606128"/>
    <w:rsid w:val="00606BB7"/>
    <w:rsid w:val="00607804"/>
    <w:rsid w:val="006100AD"/>
    <w:rsid w:val="00610293"/>
    <w:rsid w:val="00616EFD"/>
    <w:rsid w:val="00617B4C"/>
    <w:rsid w:val="00621A4A"/>
    <w:rsid w:val="006227C4"/>
    <w:rsid w:val="00623496"/>
    <w:rsid w:val="00623903"/>
    <w:rsid w:val="00623F48"/>
    <w:rsid w:val="00624E26"/>
    <w:rsid w:val="00625216"/>
    <w:rsid w:val="006278C8"/>
    <w:rsid w:val="006344BC"/>
    <w:rsid w:val="006345CC"/>
    <w:rsid w:val="0063588F"/>
    <w:rsid w:val="00635983"/>
    <w:rsid w:val="00636DB2"/>
    <w:rsid w:val="00637038"/>
    <w:rsid w:val="00637722"/>
    <w:rsid w:val="00640097"/>
    <w:rsid w:val="006412E6"/>
    <w:rsid w:val="00643DDD"/>
    <w:rsid w:val="00645BF8"/>
    <w:rsid w:val="006473B1"/>
    <w:rsid w:val="006503F7"/>
    <w:rsid w:val="00650856"/>
    <w:rsid w:val="00651281"/>
    <w:rsid w:val="006512AE"/>
    <w:rsid w:val="00654262"/>
    <w:rsid w:val="00655C5B"/>
    <w:rsid w:val="00655DC1"/>
    <w:rsid w:val="00656A64"/>
    <w:rsid w:val="00657198"/>
    <w:rsid w:val="006571C6"/>
    <w:rsid w:val="0066150B"/>
    <w:rsid w:val="0066320E"/>
    <w:rsid w:val="00663BF2"/>
    <w:rsid w:val="00664213"/>
    <w:rsid w:val="00664494"/>
    <w:rsid w:val="00665ED7"/>
    <w:rsid w:val="0066606C"/>
    <w:rsid w:val="006676C2"/>
    <w:rsid w:val="00667822"/>
    <w:rsid w:val="006705A8"/>
    <w:rsid w:val="00671D56"/>
    <w:rsid w:val="00671E40"/>
    <w:rsid w:val="00671EC6"/>
    <w:rsid w:val="0067294F"/>
    <w:rsid w:val="00672EC0"/>
    <w:rsid w:val="00673AAE"/>
    <w:rsid w:val="00674BD0"/>
    <w:rsid w:val="006752A9"/>
    <w:rsid w:val="00675441"/>
    <w:rsid w:val="00677CBD"/>
    <w:rsid w:val="0068029B"/>
    <w:rsid w:val="0068535D"/>
    <w:rsid w:val="0068795D"/>
    <w:rsid w:val="0069077C"/>
    <w:rsid w:val="006913FE"/>
    <w:rsid w:val="00694486"/>
    <w:rsid w:val="00695683"/>
    <w:rsid w:val="006963B7"/>
    <w:rsid w:val="00696B42"/>
    <w:rsid w:val="006A256A"/>
    <w:rsid w:val="006A2A5D"/>
    <w:rsid w:val="006A2F2D"/>
    <w:rsid w:val="006A4A7F"/>
    <w:rsid w:val="006A4E5B"/>
    <w:rsid w:val="006A513B"/>
    <w:rsid w:val="006A6338"/>
    <w:rsid w:val="006A6CCF"/>
    <w:rsid w:val="006A7116"/>
    <w:rsid w:val="006A74B4"/>
    <w:rsid w:val="006B0997"/>
    <w:rsid w:val="006B0EB7"/>
    <w:rsid w:val="006B21D3"/>
    <w:rsid w:val="006B33BE"/>
    <w:rsid w:val="006B5AF7"/>
    <w:rsid w:val="006B6194"/>
    <w:rsid w:val="006B7598"/>
    <w:rsid w:val="006B7803"/>
    <w:rsid w:val="006C0444"/>
    <w:rsid w:val="006C188C"/>
    <w:rsid w:val="006C3B14"/>
    <w:rsid w:val="006C4503"/>
    <w:rsid w:val="006C4BD0"/>
    <w:rsid w:val="006C722E"/>
    <w:rsid w:val="006D2661"/>
    <w:rsid w:val="006D2C17"/>
    <w:rsid w:val="006D51E6"/>
    <w:rsid w:val="006D5E5C"/>
    <w:rsid w:val="006D7923"/>
    <w:rsid w:val="006D7F79"/>
    <w:rsid w:val="006E33B6"/>
    <w:rsid w:val="006E5198"/>
    <w:rsid w:val="006E649A"/>
    <w:rsid w:val="006E6BF2"/>
    <w:rsid w:val="006E7AA4"/>
    <w:rsid w:val="006F005C"/>
    <w:rsid w:val="006F0AFD"/>
    <w:rsid w:val="006F4F33"/>
    <w:rsid w:val="006F6520"/>
    <w:rsid w:val="00700ECB"/>
    <w:rsid w:val="00707244"/>
    <w:rsid w:val="0070725E"/>
    <w:rsid w:val="007102F3"/>
    <w:rsid w:val="007103F1"/>
    <w:rsid w:val="00711044"/>
    <w:rsid w:val="007123DF"/>
    <w:rsid w:val="00714281"/>
    <w:rsid w:val="00714C48"/>
    <w:rsid w:val="00715178"/>
    <w:rsid w:val="007155F4"/>
    <w:rsid w:val="007160A3"/>
    <w:rsid w:val="00716A87"/>
    <w:rsid w:val="00716F9F"/>
    <w:rsid w:val="00720B17"/>
    <w:rsid w:val="00722261"/>
    <w:rsid w:val="0072560B"/>
    <w:rsid w:val="00725DFA"/>
    <w:rsid w:val="007313BA"/>
    <w:rsid w:val="007313DE"/>
    <w:rsid w:val="00731D53"/>
    <w:rsid w:val="007359AE"/>
    <w:rsid w:val="0073651E"/>
    <w:rsid w:val="007366B7"/>
    <w:rsid w:val="00736CD1"/>
    <w:rsid w:val="00736D97"/>
    <w:rsid w:val="007370A6"/>
    <w:rsid w:val="007370D4"/>
    <w:rsid w:val="0074037D"/>
    <w:rsid w:val="00740701"/>
    <w:rsid w:val="007410F8"/>
    <w:rsid w:val="00742441"/>
    <w:rsid w:val="00742446"/>
    <w:rsid w:val="00742BF7"/>
    <w:rsid w:val="00743CA6"/>
    <w:rsid w:val="007448E7"/>
    <w:rsid w:val="00744D1F"/>
    <w:rsid w:val="007450B0"/>
    <w:rsid w:val="0074526C"/>
    <w:rsid w:val="00747C42"/>
    <w:rsid w:val="0075515B"/>
    <w:rsid w:val="00755444"/>
    <w:rsid w:val="00756EA9"/>
    <w:rsid w:val="007605D6"/>
    <w:rsid w:val="00760AFF"/>
    <w:rsid w:val="0076155E"/>
    <w:rsid w:val="00761CBE"/>
    <w:rsid w:val="00763659"/>
    <w:rsid w:val="00763F5E"/>
    <w:rsid w:val="00766A77"/>
    <w:rsid w:val="00766E81"/>
    <w:rsid w:val="00766F96"/>
    <w:rsid w:val="00767FA3"/>
    <w:rsid w:val="007703BB"/>
    <w:rsid w:val="007708C4"/>
    <w:rsid w:val="00770C0B"/>
    <w:rsid w:val="0077145F"/>
    <w:rsid w:val="00771FCA"/>
    <w:rsid w:val="00773166"/>
    <w:rsid w:val="00773570"/>
    <w:rsid w:val="00773EB9"/>
    <w:rsid w:val="0077433A"/>
    <w:rsid w:val="007770C9"/>
    <w:rsid w:val="00777CCA"/>
    <w:rsid w:val="0078036D"/>
    <w:rsid w:val="007838AB"/>
    <w:rsid w:val="00783B3A"/>
    <w:rsid w:val="00786543"/>
    <w:rsid w:val="007867F4"/>
    <w:rsid w:val="00787D93"/>
    <w:rsid w:val="00787EB1"/>
    <w:rsid w:val="007901F5"/>
    <w:rsid w:val="00791213"/>
    <w:rsid w:val="00791F8A"/>
    <w:rsid w:val="007943F5"/>
    <w:rsid w:val="00794731"/>
    <w:rsid w:val="00797610"/>
    <w:rsid w:val="00797EAC"/>
    <w:rsid w:val="007A03DF"/>
    <w:rsid w:val="007A0DB8"/>
    <w:rsid w:val="007A0F39"/>
    <w:rsid w:val="007A17D9"/>
    <w:rsid w:val="007A5505"/>
    <w:rsid w:val="007A73AD"/>
    <w:rsid w:val="007B0C67"/>
    <w:rsid w:val="007B0FA6"/>
    <w:rsid w:val="007B14EC"/>
    <w:rsid w:val="007B377B"/>
    <w:rsid w:val="007B3E74"/>
    <w:rsid w:val="007B46D6"/>
    <w:rsid w:val="007B5D4E"/>
    <w:rsid w:val="007B723F"/>
    <w:rsid w:val="007C002A"/>
    <w:rsid w:val="007C043A"/>
    <w:rsid w:val="007C0C53"/>
    <w:rsid w:val="007C3732"/>
    <w:rsid w:val="007C5399"/>
    <w:rsid w:val="007C684B"/>
    <w:rsid w:val="007C6978"/>
    <w:rsid w:val="007C724A"/>
    <w:rsid w:val="007D0F36"/>
    <w:rsid w:val="007D101C"/>
    <w:rsid w:val="007D23C5"/>
    <w:rsid w:val="007D3C48"/>
    <w:rsid w:val="007D5615"/>
    <w:rsid w:val="007D5ADA"/>
    <w:rsid w:val="007D63E7"/>
    <w:rsid w:val="007D6543"/>
    <w:rsid w:val="007E005D"/>
    <w:rsid w:val="007E02CB"/>
    <w:rsid w:val="007E0F83"/>
    <w:rsid w:val="007E2036"/>
    <w:rsid w:val="007E40B1"/>
    <w:rsid w:val="007E4CB4"/>
    <w:rsid w:val="007E4FC4"/>
    <w:rsid w:val="007E5D9A"/>
    <w:rsid w:val="007E7ABD"/>
    <w:rsid w:val="007F0893"/>
    <w:rsid w:val="007F2EC6"/>
    <w:rsid w:val="007F302C"/>
    <w:rsid w:val="007F51D0"/>
    <w:rsid w:val="007F65D1"/>
    <w:rsid w:val="007F6E1C"/>
    <w:rsid w:val="00801560"/>
    <w:rsid w:val="0080164C"/>
    <w:rsid w:val="008019F0"/>
    <w:rsid w:val="00803816"/>
    <w:rsid w:val="00803C83"/>
    <w:rsid w:val="00807A3F"/>
    <w:rsid w:val="00810520"/>
    <w:rsid w:val="00810639"/>
    <w:rsid w:val="0081086F"/>
    <w:rsid w:val="00810BD8"/>
    <w:rsid w:val="008127BF"/>
    <w:rsid w:val="00813781"/>
    <w:rsid w:val="008140F9"/>
    <w:rsid w:val="00814172"/>
    <w:rsid w:val="0081469C"/>
    <w:rsid w:val="008147FC"/>
    <w:rsid w:val="00817A45"/>
    <w:rsid w:val="00821DFC"/>
    <w:rsid w:val="00825417"/>
    <w:rsid w:val="00825C77"/>
    <w:rsid w:val="00827AE2"/>
    <w:rsid w:val="00827FE3"/>
    <w:rsid w:val="00830014"/>
    <w:rsid w:val="00830750"/>
    <w:rsid w:val="00832591"/>
    <w:rsid w:val="008336C7"/>
    <w:rsid w:val="008344A5"/>
    <w:rsid w:val="00835031"/>
    <w:rsid w:val="00836AA0"/>
    <w:rsid w:val="00836FF1"/>
    <w:rsid w:val="00837372"/>
    <w:rsid w:val="0084002A"/>
    <w:rsid w:val="00840092"/>
    <w:rsid w:val="008413BD"/>
    <w:rsid w:val="00841BD5"/>
    <w:rsid w:val="00843920"/>
    <w:rsid w:val="0084552A"/>
    <w:rsid w:val="00845A92"/>
    <w:rsid w:val="00845B6F"/>
    <w:rsid w:val="00847BF2"/>
    <w:rsid w:val="00851920"/>
    <w:rsid w:val="00852A8E"/>
    <w:rsid w:val="00852D8E"/>
    <w:rsid w:val="00853834"/>
    <w:rsid w:val="008539AD"/>
    <w:rsid w:val="00853B8F"/>
    <w:rsid w:val="00854726"/>
    <w:rsid w:val="0085482F"/>
    <w:rsid w:val="00854CFC"/>
    <w:rsid w:val="00855C37"/>
    <w:rsid w:val="0085715E"/>
    <w:rsid w:val="00860805"/>
    <w:rsid w:val="00860D58"/>
    <w:rsid w:val="00860E99"/>
    <w:rsid w:val="00861E96"/>
    <w:rsid w:val="00862F7F"/>
    <w:rsid w:val="00863657"/>
    <w:rsid w:val="008656B7"/>
    <w:rsid w:val="00870C2D"/>
    <w:rsid w:val="008718F2"/>
    <w:rsid w:val="00872B8D"/>
    <w:rsid w:val="00872CB4"/>
    <w:rsid w:val="008735AB"/>
    <w:rsid w:val="00874C5B"/>
    <w:rsid w:val="0087616A"/>
    <w:rsid w:val="00876196"/>
    <w:rsid w:val="00876DAA"/>
    <w:rsid w:val="00877EC3"/>
    <w:rsid w:val="00877F9C"/>
    <w:rsid w:val="00880D9F"/>
    <w:rsid w:val="00882982"/>
    <w:rsid w:val="00882AB9"/>
    <w:rsid w:val="00883BE3"/>
    <w:rsid w:val="008847B7"/>
    <w:rsid w:val="00884F9D"/>
    <w:rsid w:val="00885F35"/>
    <w:rsid w:val="00890915"/>
    <w:rsid w:val="00892038"/>
    <w:rsid w:val="008947DF"/>
    <w:rsid w:val="008A09FB"/>
    <w:rsid w:val="008A211B"/>
    <w:rsid w:val="008A2E5F"/>
    <w:rsid w:val="008A3CC2"/>
    <w:rsid w:val="008A3D52"/>
    <w:rsid w:val="008A4AB3"/>
    <w:rsid w:val="008A5AA9"/>
    <w:rsid w:val="008A6B43"/>
    <w:rsid w:val="008A7C91"/>
    <w:rsid w:val="008B01D1"/>
    <w:rsid w:val="008B2782"/>
    <w:rsid w:val="008B65EB"/>
    <w:rsid w:val="008B7DD0"/>
    <w:rsid w:val="008C0F76"/>
    <w:rsid w:val="008C2A0E"/>
    <w:rsid w:val="008C3E44"/>
    <w:rsid w:val="008C4234"/>
    <w:rsid w:val="008C483C"/>
    <w:rsid w:val="008C53C5"/>
    <w:rsid w:val="008C7B9E"/>
    <w:rsid w:val="008D1E81"/>
    <w:rsid w:val="008D42BD"/>
    <w:rsid w:val="008D5C12"/>
    <w:rsid w:val="008D6273"/>
    <w:rsid w:val="008D7E34"/>
    <w:rsid w:val="008E1EB8"/>
    <w:rsid w:val="008E1FDA"/>
    <w:rsid w:val="008E42F8"/>
    <w:rsid w:val="008E555E"/>
    <w:rsid w:val="008E63D3"/>
    <w:rsid w:val="008E66A3"/>
    <w:rsid w:val="008E737B"/>
    <w:rsid w:val="008E74B7"/>
    <w:rsid w:val="008F0300"/>
    <w:rsid w:val="008F12BA"/>
    <w:rsid w:val="008F162F"/>
    <w:rsid w:val="008F1683"/>
    <w:rsid w:val="008F19D4"/>
    <w:rsid w:val="008F25A3"/>
    <w:rsid w:val="008F2DE5"/>
    <w:rsid w:val="008F3755"/>
    <w:rsid w:val="008F4252"/>
    <w:rsid w:val="008F4EB5"/>
    <w:rsid w:val="008F6989"/>
    <w:rsid w:val="008F70B5"/>
    <w:rsid w:val="009020B1"/>
    <w:rsid w:val="00902478"/>
    <w:rsid w:val="0090263B"/>
    <w:rsid w:val="0090617D"/>
    <w:rsid w:val="009061CE"/>
    <w:rsid w:val="00907E0A"/>
    <w:rsid w:val="00911BBD"/>
    <w:rsid w:val="00911CC6"/>
    <w:rsid w:val="009136FE"/>
    <w:rsid w:val="0091478E"/>
    <w:rsid w:val="00914C69"/>
    <w:rsid w:val="009162B7"/>
    <w:rsid w:val="009214D4"/>
    <w:rsid w:val="00921B73"/>
    <w:rsid w:val="00925346"/>
    <w:rsid w:val="0092629C"/>
    <w:rsid w:val="00926ACC"/>
    <w:rsid w:val="009330C9"/>
    <w:rsid w:val="00933833"/>
    <w:rsid w:val="00933ACA"/>
    <w:rsid w:val="0093468B"/>
    <w:rsid w:val="009349B1"/>
    <w:rsid w:val="009351E0"/>
    <w:rsid w:val="0093681E"/>
    <w:rsid w:val="00936952"/>
    <w:rsid w:val="00937ED0"/>
    <w:rsid w:val="0094019C"/>
    <w:rsid w:val="00940C6E"/>
    <w:rsid w:val="00940C9D"/>
    <w:rsid w:val="00940F9C"/>
    <w:rsid w:val="00941943"/>
    <w:rsid w:val="00941CC3"/>
    <w:rsid w:val="00942021"/>
    <w:rsid w:val="00942033"/>
    <w:rsid w:val="00942873"/>
    <w:rsid w:val="00943357"/>
    <w:rsid w:val="00944762"/>
    <w:rsid w:val="00944F45"/>
    <w:rsid w:val="00945553"/>
    <w:rsid w:val="00950893"/>
    <w:rsid w:val="009509AA"/>
    <w:rsid w:val="009509BC"/>
    <w:rsid w:val="00952741"/>
    <w:rsid w:val="00952C9E"/>
    <w:rsid w:val="009540B8"/>
    <w:rsid w:val="00954811"/>
    <w:rsid w:val="00954998"/>
    <w:rsid w:val="00954AAA"/>
    <w:rsid w:val="009569A1"/>
    <w:rsid w:val="00960E62"/>
    <w:rsid w:val="009617D5"/>
    <w:rsid w:val="00961CD0"/>
    <w:rsid w:val="00963239"/>
    <w:rsid w:val="009635E1"/>
    <w:rsid w:val="009645F2"/>
    <w:rsid w:val="009648A2"/>
    <w:rsid w:val="0096536F"/>
    <w:rsid w:val="00965B57"/>
    <w:rsid w:val="00970F49"/>
    <w:rsid w:val="0097238F"/>
    <w:rsid w:val="00972A9A"/>
    <w:rsid w:val="0097333F"/>
    <w:rsid w:val="009733AC"/>
    <w:rsid w:val="00974871"/>
    <w:rsid w:val="00974CC1"/>
    <w:rsid w:val="009763E3"/>
    <w:rsid w:val="0097791B"/>
    <w:rsid w:val="00977E9B"/>
    <w:rsid w:val="009803A4"/>
    <w:rsid w:val="0098137D"/>
    <w:rsid w:val="00983AE2"/>
    <w:rsid w:val="0098426F"/>
    <w:rsid w:val="00984906"/>
    <w:rsid w:val="00985B1E"/>
    <w:rsid w:val="00985BC5"/>
    <w:rsid w:val="00985D6A"/>
    <w:rsid w:val="00986A07"/>
    <w:rsid w:val="00986E24"/>
    <w:rsid w:val="00987BAA"/>
    <w:rsid w:val="00990093"/>
    <w:rsid w:val="009918CE"/>
    <w:rsid w:val="0099275F"/>
    <w:rsid w:val="00994327"/>
    <w:rsid w:val="00995274"/>
    <w:rsid w:val="00995E8A"/>
    <w:rsid w:val="009A1055"/>
    <w:rsid w:val="009A28B6"/>
    <w:rsid w:val="009A4B97"/>
    <w:rsid w:val="009A4E6D"/>
    <w:rsid w:val="009A5200"/>
    <w:rsid w:val="009A544A"/>
    <w:rsid w:val="009A7092"/>
    <w:rsid w:val="009A712B"/>
    <w:rsid w:val="009B0F19"/>
    <w:rsid w:val="009B1AF1"/>
    <w:rsid w:val="009B2BAF"/>
    <w:rsid w:val="009B5A58"/>
    <w:rsid w:val="009B5DB8"/>
    <w:rsid w:val="009B6327"/>
    <w:rsid w:val="009B6A1C"/>
    <w:rsid w:val="009C029F"/>
    <w:rsid w:val="009C43BB"/>
    <w:rsid w:val="009C55EC"/>
    <w:rsid w:val="009C5AAE"/>
    <w:rsid w:val="009C5BEB"/>
    <w:rsid w:val="009C6C74"/>
    <w:rsid w:val="009D0DC3"/>
    <w:rsid w:val="009D433B"/>
    <w:rsid w:val="009D5595"/>
    <w:rsid w:val="009D60A6"/>
    <w:rsid w:val="009D62F3"/>
    <w:rsid w:val="009D6E9A"/>
    <w:rsid w:val="009E07FD"/>
    <w:rsid w:val="009E350A"/>
    <w:rsid w:val="009E576D"/>
    <w:rsid w:val="009E6CDF"/>
    <w:rsid w:val="009F2023"/>
    <w:rsid w:val="009F3CDE"/>
    <w:rsid w:val="009F6926"/>
    <w:rsid w:val="009F6CED"/>
    <w:rsid w:val="009F6F56"/>
    <w:rsid w:val="009F70FB"/>
    <w:rsid w:val="009F7510"/>
    <w:rsid w:val="00A01A68"/>
    <w:rsid w:val="00A02A63"/>
    <w:rsid w:val="00A03C7E"/>
    <w:rsid w:val="00A052FA"/>
    <w:rsid w:val="00A05634"/>
    <w:rsid w:val="00A059DC"/>
    <w:rsid w:val="00A05FF7"/>
    <w:rsid w:val="00A06B38"/>
    <w:rsid w:val="00A126EB"/>
    <w:rsid w:val="00A13D8E"/>
    <w:rsid w:val="00A143C7"/>
    <w:rsid w:val="00A17099"/>
    <w:rsid w:val="00A2142E"/>
    <w:rsid w:val="00A2192D"/>
    <w:rsid w:val="00A2197C"/>
    <w:rsid w:val="00A22C6C"/>
    <w:rsid w:val="00A23EDF"/>
    <w:rsid w:val="00A242AD"/>
    <w:rsid w:val="00A24399"/>
    <w:rsid w:val="00A2490C"/>
    <w:rsid w:val="00A2602D"/>
    <w:rsid w:val="00A26A6F"/>
    <w:rsid w:val="00A323E7"/>
    <w:rsid w:val="00A34E07"/>
    <w:rsid w:val="00A35A5E"/>
    <w:rsid w:val="00A36BAE"/>
    <w:rsid w:val="00A4026A"/>
    <w:rsid w:val="00A41AC2"/>
    <w:rsid w:val="00A421B3"/>
    <w:rsid w:val="00A44AEC"/>
    <w:rsid w:val="00A459A9"/>
    <w:rsid w:val="00A46E78"/>
    <w:rsid w:val="00A51660"/>
    <w:rsid w:val="00A53A52"/>
    <w:rsid w:val="00A54F72"/>
    <w:rsid w:val="00A56352"/>
    <w:rsid w:val="00A5770C"/>
    <w:rsid w:val="00A63F3A"/>
    <w:rsid w:val="00A6646F"/>
    <w:rsid w:val="00A70250"/>
    <w:rsid w:val="00A7146A"/>
    <w:rsid w:val="00A725BB"/>
    <w:rsid w:val="00A728F5"/>
    <w:rsid w:val="00A740A8"/>
    <w:rsid w:val="00A75479"/>
    <w:rsid w:val="00A75705"/>
    <w:rsid w:val="00A75A21"/>
    <w:rsid w:val="00A761B6"/>
    <w:rsid w:val="00A76E14"/>
    <w:rsid w:val="00A77460"/>
    <w:rsid w:val="00A820A6"/>
    <w:rsid w:val="00A82FC8"/>
    <w:rsid w:val="00A85730"/>
    <w:rsid w:val="00A865F1"/>
    <w:rsid w:val="00A86AAD"/>
    <w:rsid w:val="00A86DAC"/>
    <w:rsid w:val="00A8723D"/>
    <w:rsid w:val="00A87703"/>
    <w:rsid w:val="00A90341"/>
    <w:rsid w:val="00A91A73"/>
    <w:rsid w:val="00A91C32"/>
    <w:rsid w:val="00A92667"/>
    <w:rsid w:val="00A9749E"/>
    <w:rsid w:val="00A977F2"/>
    <w:rsid w:val="00A97BB5"/>
    <w:rsid w:val="00A97E6E"/>
    <w:rsid w:val="00AA374F"/>
    <w:rsid w:val="00AA531E"/>
    <w:rsid w:val="00AA71DC"/>
    <w:rsid w:val="00AB199F"/>
    <w:rsid w:val="00AB25E7"/>
    <w:rsid w:val="00AB3C32"/>
    <w:rsid w:val="00AB45EF"/>
    <w:rsid w:val="00AB4EC0"/>
    <w:rsid w:val="00AB5692"/>
    <w:rsid w:val="00AB5E5F"/>
    <w:rsid w:val="00AB6186"/>
    <w:rsid w:val="00AB6279"/>
    <w:rsid w:val="00AB7A32"/>
    <w:rsid w:val="00AC2A50"/>
    <w:rsid w:val="00AC2DBE"/>
    <w:rsid w:val="00AC34AA"/>
    <w:rsid w:val="00AC4139"/>
    <w:rsid w:val="00AC549B"/>
    <w:rsid w:val="00AC607A"/>
    <w:rsid w:val="00AC6E8B"/>
    <w:rsid w:val="00AC7614"/>
    <w:rsid w:val="00AD0000"/>
    <w:rsid w:val="00AD06B8"/>
    <w:rsid w:val="00AD0D40"/>
    <w:rsid w:val="00AD3682"/>
    <w:rsid w:val="00AD4212"/>
    <w:rsid w:val="00AD70E0"/>
    <w:rsid w:val="00AE2456"/>
    <w:rsid w:val="00AE59FD"/>
    <w:rsid w:val="00AE5D3D"/>
    <w:rsid w:val="00AE7DA4"/>
    <w:rsid w:val="00AF0B65"/>
    <w:rsid w:val="00AF0DB8"/>
    <w:rsid w:val="00AF1CD0"/>
    <w:rsid w:val="00AF250C"/>
    <w:rsid w:val="00AF3374"/>
    <w:rsid w:val="00AF601E"/>
    <w:rsid w:val="00AF6892"/>
    <w:rsid w:val="00AF694A"/>
    <w:rsid w:val="00AF795E"/>
    <w:rsid w:val="00B010E2"/>
    <w:rsid w:val="00B01C39"/>
    <w:rsid w:val="00B01C67"/>
    <w:rsid w:val="00B02C88"/>
    <w:rsid w:val="00B033CC"/>
    <w:rsid w:val="00B065D5"/>
    <w:rsid w:val="00B104C6"/>
    <w:rsid w:val="00B125BF"/>
    <w:rsid w:val="00B12D57"/>
    <w:rsid w:val="00B13390"/>
    <w:rsid w:val="00B13C6A"/>
    <w:rsid w:val="00B23224"/>
    <w:rsid w:val="00B243BB"/>
    <w:rsid w:val="00B24C74"/>
    <w:rsid w:val="00B27A07"/>
    <w:rsid w:val="00B31690"/>
    <w:rsid w:val="00B322A7"/>
    <w:rsid w:val="00B3337D"/>
    <w:rsid w:val="00B35568"/>
    <w:rsid w:val="00B35D22"/>
    <w:rsid w:val="00B36A21"/>
    <w:rsid w:val="00B3726C"/>
    <w:rsid w:val="00B374A8"/>
    <w:rsid w:val="00B37BEF"/>
    <w:rsid w:val="00B41873"/>
    <w:rsid w:val="00B41CB8"/>
    <w:rsid w:val="00B42517"/>
    <w:rsid w:val="00B43061"/>
    <w:rsid w:val="00B4332F"/>
    <w:rsid w:val="00B4353E"/>
    <w:rsid w:val="00B43BA2"/>
    <w:rsid w:val="00B44FA5"/>
    <w:rsid w:val="00B4543D"/>
    <w:rsid w:val="00B454F7"/>
    <w:rsid w:val="00B45A89"/>
    <w:rsid w:val="00B46B1B"/>
    <w:rsid w:val="00B46F56"/>
    <w:rsid w:val="00B509EF"/>
    <w:rsid w:val="00B52E6D"/>
    <w:rsid w:val="00B52ED0"/>
    <w:rsid w:val="00B53A73"/>
    <w:rsid w:val="00B5456B"/>
    <w:rsid w:val="00B54603"/>
    <w:rsid w:val="00B552DA"/>
    <w:rsid w:val="00B562E2"/>
    <w:rsid w:val="00B56A11"/>
    <w:rsid w:val="00B56ECB"/>
    <w:rsid w:val="00B6095E"/>
    <w:rsid w:val="00B62B84"/>
    <w:rsid w:val="00B62D66"/>
    <w:rsid w:val="00B63193"/>
    <w:rsid w:val="00B65049"/>
    <w:rsid w:val="00B658D9"/>
    <w:rsid w:val="00B66398"/>
    <w:rsid w:val="00B663CE"/>
    <w:rsid w:val="00B726D6"/>
    <w:rsid w:val="00B72911"/>
    <w:rsid w:val="00B735C1"/>
    <w:rsid w:val="00B7381C"/>
    <w:rsid w:val="00B73EDF"/>
    <w:rsid w:val="00B742CD"/>
    <w:rsid w:val="00B76D9A"/>
    <w:rsid w:val="00B77160"/>
    <w:rsid w:val="00B80857"/>
    <w:rsid w:val="00B83041"/>
    <w:rsid w:val="00B832B1"/>
    <w:rsid w:val="00B83D78"/>
    <w:rsid w:val="00B85A40"/>
    <w:rsid w:val="00B90617"/>
    <w:rsid w:val="00B9205C"/>
    <w:rsid w:val="00B920E4"/>
    <w:rsid w:val="00B92FBB"/>
    <w:rsid w:val="00B94187"/>
    <w:rsid w:val="00B96A2B"/>
    <w:rsid w:val="00B97073"/>
    <w:rsid w:val="00B97620"/>
    <w:rsid w:val="00BA47A8"/>
    <w:rsid w:val="00BA4DDB"/>
    <w:rsid w:val="00BA57D7"/>
    <w:rsid w:val="00BA6B09"/>
    <w:rsid w:val="00BA6CBE"/>
    <w:rsid w:val="00BA7ECA"/>
    <w:rsid w:val="00BB07B8"/>
    <w:rsid w:val="00BB07E1"/>
    <w:rsid w:val="00BB145E"/>
    <w:rsid w:val="00BB1A2E"/>
    <w:rsid w:val="00BB4CF4"/>
    <w:rsid w:val="00BB5D91"/>
    <w:rsid w:val="00BB7ADA"/>
    <w:rsid w:val="00BB7AFC"/>
    <w:rsid w:val="00BC1E07"/>
    <w:rsid w:val="00BC2B1A"/>
    <w:rsid w:val="00BC312D"/>
    <w:rsid w:val="00BC3C09"/>
    <w:rsid w:val="00BC5675"/>
    <w:rsid w:val="00BC5A9B"/>
    <w:rsid w:val="00BC6594"/>
    <w:rsid w:val="00BC769F"/>
    <w:rsid w:val="00BC7A4C"/>
    <w:rsid w:val="00BC7FF9"/>
    <w:rsid w:val="00BD1E63"/>
    <w:rsid w:val="00BD3043"/>
    <w:rsid w:val="00BD3855"/>
    <w:rsid w:val="00BD3DCE"/>
    <w:rsid w:val="00BD5628"/>
    <w:rsid w:val="00BD5AF3"/>
    <w:rsid w:val="00BD6C21"/>
    <w:rsid w:val="00BD7681"/>
    <w:rsid w:val="00BD7EF8"/>
    <w:rsid w:val="00BE190E"/>
    <w:rsid w:val="00BE2377"/>
    <w:rsid w:val="00BE3345"/>
    <w:rsid w:val="00BE5A4D"/>
    <w:rsid w:val="00BE61C8"/>
    <w:rsid w:val="00BE64F5"/>
    <w:rsid w:val="00BE79A6"/>
    <w:rsid w:val="00BF01C1"/>
    <w:rsid w:val="00BF086C"/>
    <w:rsid w:val="00BF0DB9"/>
    <w:rsid w:val="00BF1A73"/>
    <w:rsid w:val="00BF2508"/>
    <w:rsid w:val="00BF33D2"/>
    <w:rsid w:val="00BF37C2"/>
    <w:rsid w:val="00BF3935"/>
    <w:rsid w:val="00BF39BB"/>
    <w:rsid w:val="00BF46BB"/>
    <w:rsid w:val="00BF7ECC"/>
    <w:rsid w:val="00C00466"/>
    <w:rsid w:val="00C00A00"/>
    <w:rsid w:val="00C01112"/>
    <w:rsid w:val="00C01494"/>
    <w:rsid w:val="00C025E7"/>
    <w:rsid w:val="00C0263E"/>
    <w:rsid w:val="00C051C2"/>
    <w:rsid w:val="00C10625"/>
    <w:rsid w:val="00C1076C"/>
    <w:rsid w:val="00C108ED"/>
    <w:rsid w:val="00C1184C"/>
    <w:rsid w:val="00C12BBE"/>
    <w:rsid w:val="00C12C0D"/>
    <w:rsid w:val="00C134D8"/>
    <w:rsid w:val="00C1455F"/>
    <w:rsid w:val="00C15918"/>
    <w:rsid w:val="00C15E0A"/>
    <w:rsid w:val="00C20CDF"/>
    <w:rsid w:val="00C20F61"/>
    <w:rsid w:val="00C23456"/>
    <w:rsid w:val="00C2390A"/>
    <w:rsid w:val="00C2498B"/>
    <w:rsid w:val="00C24E8B"/>
    <w:rsid w:val="00C25CDF"/>
    <w:rsid w:val="00C263A8"/>
    <w:rsid w:val="00C27618"/>
    <w:rsid w:val="00C30A10"/>
    <w:rsid w:val="00C33D18"/>
    <w:rsid w:val="00C3696D"/>
    <w:rsid w:val="00C4040D"/>
    <w:rsid w:val="00C414D7"/>
    <w:rsid w:val="00C420DF"/>
    <w:rsid w:val="00C429AB"/>
    <w:rsid w:val="00C43040"/>
    <w:rsid w:val="00C43E3A"/>
    <w:rsid w:val="00C44D2D"/>
    <w:rsid w:val="00C52C4B"/>
    <w:rsid w:val="00C53DDA"/>
    <w:rsid w:val="00C56DF6"/>
    <w:rsid w:val="00C5737B"/>
    <w:rsid w:val="00C6038C"/>
    <w:rsid w:val="00C60584"/>
    <w:rsid w:val="00C6060A"/>
    <w:rsid w:val="00C606A1"/>
    <w:rsid w:val="00C60B28"/>
    <w:rsid w:val="00C62091"/>
    <w:rsid w:val="00C6258D"/>
    <w:rsid w:val="00C62A66"/>
    <w:rsid w:val="00C63628"/>
    <w:rsid w:val="00C66162"/>
    <w:rsid w:val="00C67663"/>
    <w:rsid w:val="00C679EE"/>
    <w:rsid w:val="00C705A5"/>
    <w:rsid w:val="00C729D3"/>
    <w:rsid w:val="00C729E7"/>
    <w:rsid w:val="00C72B5E"/>
    <w:rsid w:val="00C73FA9"/>
    <w:rsid w:val="00C76B12"/>
    <w:rsid w:val="00C77E0D"/>
    <w:rsid w:val="00C8146A"/>
    <w:rsid w:val="00C8175D"/>
    <w:rsid w:val="00C81AD4"/>
    <w:rsid w:val="00C8237E"/>
    <w:rsid w:val="00C832A5"/>
    <w:rsid w:val="00C84EB8"/>
    <w:rsid w:val="00C853DA"/>
    <w:rsid w:val="00C874D6"/>
    <w:rsid w:val="00C87B5C"/>
    <w:rsid w:val="00C904F1"/>
    <w:rsid w:val="00C927F3"/>
    <w:rsid w:val="00C93076"/>
    <w:rsid w:val="00C9363B"/>
    <w:rsid w:val="00C9418E"/>
    <w:rsid w:val="00C94270"/>
    <w:rsid w:val="00C9510D"/>
    <w:rsid w:val="00C9531E"/>
    <w:rsid w:val="00C95553"/>
    <w:rsid w:val="00C96A49"/>
    <w:rsid w:val="00C96D02"/>
    <w:rsid w:val="00C96F79"/>
    <w:rsid w:val="00CA04AB"/>
    <w:rsid w:val="00CA0E8F"/>
    <w:rsid w:val="00CA1042"/>
    <w:rsid w:val="00CA116F"/>
    <w:rsid w:val="00CA19D6"/>
    <w:rsid w:val="00CA2681"/>
    <w:rsid w:val="00CA3243"/>
    <w:rsid w:val="00CA33BB"/>
    <w:rsid w:val="00CA3F81"/>
    <w:rsid w:val="00CA65D1"/>
    <w:rsid w:val="00CA6FBA"/>
    <w:rsid w:val="00CA7B0D"/>
    <w:rsid w:val="00CA7D86"/>
    <w:rsid w:val="00CB049B"/>
    <w:rsid w:val="00CB319C"/>
    <w:rsid w:val="00CB4268"/>
    <w:rsid w:val="00CB4887"/>
    <w:rsid w:val="00CB5E55"/>
    <w:rsid w:val="00CB663C"/>
    <w:rsid w:val="00CB7E17"/>
    <w:rsid w:val="00CC0560"/>
    <w:rsid w:val="00CC114C"/>
    <w:rsid w:val="00CC22F9"/>
    <w:rsid w:val="00CC475F"/>
    <w:rsid w:val="00CC4EB8"/>
    <w:rsid w:val="00CC6A51"/>
    <w:rsid w:val="00CD2AC5"/>
    <w:rsid w:val="00CD32E1"/>
    <w:rsid w:val="00CD4064"/>
    <w:rsid w:val="00CD58EF"/>
    <w:rsid w:val="00CD6D47"/>
    <w:rsid w:val="00CE0D42"/>
    <w:rsid w:val="00CE2F00"/>
    <w:rsid w:val="00CE338C"/>
    <w:rsid w:val="00CE3A87"/>
    <w:rsid w:val="00CE4555"/>
    <w:rsid w:val="00CE6BE7"/>
    <w:rsid w:val="00CE6D9B"/>
    <w:rsid w:val="00CE71E3"/>
    <w:rsid w:val="00CE755F"/>
    <w:rsid w:val="00CF13B5"/>
    <w:rsid w:val="00CF1DC2"/>
    <w:rsid w:val="00CF2191"/>
    <w:rsid w:val="00CF43B2"/>
    <w:rsid w:val="00CF5CB5"/>
    <w:rsid w:val="00CF6ED6"/>
    <w:rsid w:val="00CF7737"/>
    <w:rsid w:val="00CF7C08"/>
    <w:rsid w:val="00D00C78"/>
    <w:rsid w:val="00D02C9E"/>
    <w:rsid w:val="00D03193"/>
    <w:rsid w:val="00D046FC"/>
    <w:rsid w:val="00D0549B"/>
    <w:rsid w:val="00D06F2E"/>
    <w:rsid w:val="00D07F70"/>
    <w:rsid w:val="00D11242"/>
    <w:rsid w:val="00D11CD6"/>
    <w:rsid w:val="00D13802"/>
    <w:rsid w:val="00D13FC3"/>
    <w:rsid w:val="00D143D3"/>
    <w:rsid w:val="00D163D0"/>
    <w:rsid w:val="00D17D8C"/>
    <w:rsid w:val="00D2041F"/>
    <w:rsid w:val="00D20F72"/>
    <w:rsid w:val="00D21F92"/>
    <w:rsid w:val="00D23A07"/>
    <w:rsid w:val="00D251A1"/>
    <w:rsid w:val="00D269C9"/>
    <w:rsid w:val="00D27CF7"/>
    <w:rsid w:val="00D309FF"/>
    <w:rsid w:val="00D32A1C"/>
    <w:rsid w:val="00D33E71"/>
    <w:rsid w:val="00D35C26"/>
    <w:rsid w:val="00D360CF"/>
    <w:rsid w:val="00D4316D"/>
    <w:rsid w:val="00D451A1"/>
    <w:rsid w:val="00D455F3"/>
    <w:rsid w:val="00D46195"/>
    <w:rsid w:val="00D46BD1"/>
    <w:rsid w:val="00D47AAD"/>
    <w:rsid w:val="00D52EE2"/>
    <w:rsid w:val="00D53501"/>
    <w:rsid w:val="00D5386C"/>
    <w:rsid w:val="00D540A6"/>
    <w:rsid w:val="00D5473A"/>
    <w:rsid w:val="00D55EF3"/>
    <w:rsid w:val="00D57BE2"/>
    <w:rsid w:val="00D60B2A"/>
    <w:rsid w:val="00D616A7"/>
    <w:rsid w:val="00D61BE0"/>
    <w:rsid w:val="00D6282C"/>
    <w:rsid w:val="00D62B56"/>
    <w:rsid w:val="00D6320B"/>
    <w:rsid w:val="00D63259"/>
    <w:rsid w:val="00D63D99"/>
    <w:rsid w:val="00D64B55"/>
    <w:rsid w:val="00D66151"/>
    <w:rsid w:val="00D664E5"/>
    <w:rsid w:val="00D6767C"/>
    <w:rsid w:val="00D67827"/>
    <w:rsid w:val="00D700A4"/>
    <w:rsid w:val="00D72FA5"/>
    <w:rsid w:val="00D733E8"/>
    <w:rsid w:val="00D7461D"/>
    <w:rsid w:val="00D74D0B"/>
    <w:rsid w:val="00D751BF"/>
    <w:rsid w:val="00D775D2"/>
    <w:rsid w:val="00D77738"/>
    <w:rsid w:val="00D80DDD"/>
    <w:rsid w:val="00D81187"/>
    <w:rsid w:val="00D8135F"/>
    <w:rsid w:val="00D81C55"/>
    <w:rsid w:val="00D834C8"/>
    <w:rsid w:val="00D83D79"/>
    <w:rsid w:val="00D85177"/>
    <w:rsid w:val="00D85AB5"/>
    <w:rsid w:val="00D86295"/>
    <w:rsid w:val="00D862F8"/>
    <w:rsid w:val="00D8649C"/>
    <w:rsid w:val="00D8793B"/>
    <w:rsid w:val="00D879D1"/>
    <w:rsid w:val="00D90CEC"/>
    <w:rsid w:val="00D91066"/>
    <w:rsid w:val="00D91A7B"/>
    <w:rsid w:val="00D96558"/>
    <w:rsid w:val="00D967FA"/>
    <w:rsid w:val="00D97F9D"/>
    <w:rsid w:val="00DA0A3E"/>
    <w:rsid w:val="00DA1330"/>
    <w:rsid w:val="00DA1ADC"/>
    <w:rsid w:val="00DA3486"/>
    <w:rsid w:val="00DA5A92"/>
    <w:rsid w:val="00DA7310"/>
    <w:rsid w:val="00DB06C0"/>
    <w:rsid w:val="00DB30B2"/>
    <w:rsid w:val="00DB423A"/>
    <w:rsid w:val="00DB548B"/>
    <w:rsid w:val="00DB5765"/>
    <w:rsid w:val="00DB713F"/>
    <w:rsid w:val="00DC106C"/>
    <w:rsid w:val="00DC2259"/>
    <w:rsid w:val="00DC2C99"/>
    <w:rsid w:val="00DC2D12"/>
    <w:rsid w:val="00DC3718"/>
    <w:rsid w:val="00DC46C9"/>
    <w:rsid w:val="00DC47A4"/>
    <w:rsid w:val="00DC5248"/>
    <w:rsid w:val="00DC5C85"/>
    <w:rsid w:val="00DC6A4D"/>
    <w:rsid w:val="00DD058B"/>
    <w:rsid w:val="00DD08A7"/>
    <w:rsid w:val="00DD2029"/>
    <w:rsid w:val="00DD30B2"/>
    <w:rsid w:val="00DD4368"/>
    <w:rsid w:val="00DD785C"/>
    <w:rsid w:val="00DE042F"/>
    <w:rsid w:val="00DE0604"/>
    <w:rsid w:val="00DE12D7"/>
    <w:rsid w:val="00DE2EF3"/>
    <w:rsid w:val="00DE617C"/>
    <w:rsid w:val="00DF2382"/>
    <w:rsid w:val="00DF4349"/>
    <w:rsid w:val="00DF47F2"/>
    <w:rsid w:val="00DF62FA"/>
    <w:rsid w:val="00E016DB"/>
    <w:rsid w:val="00E0197C"/>
    <w:rsid w:val="00E0237A"/>
    <w:rsid w:val="00E0254F"/>
    <w:rsid w:val="00E02B10"/>
    <w:rsid w:val="00E04084"/>
    <w:rsid w:val="00E04B3B"/>
    <w:rsid w:val="00E070A3"/>
    <w:rsid w:val="00E07445"/>
    <w:rsid w:val="00E10DED"/>
    <w:rsid w:val="00E111E4"/>
    <w:rsid w:val="00E11A3A"/>
    <w:rsid w:val="00E11F09"/>
    <w:rsid w:val="00E142C1"/>
    <w:rsid w:val="00E14BB9"/>
    <w:rsid w:val="00E14F5A"/>
    <w:rsid w:val="00E15B74"/>
    <w:rsid w:val="00E15BF2"/>
    <w:rsid w:val="00E17157"/>
    <w:rsid w:val="00E17D8F"/>
    <w:rsid w:val="00E2032A"/>
    <w:rsid w:val="00E21F15"/>
    <w:rsid w:val="00E2327B"/>
    <w:rsid w:val="00E2632E"/>
    <w:rsid w:val="00E302D9"/>
    <w:rsid w:val="00E30431"/>
    <w:rsid w:val="00E31502"/>
    <w:rsid w:val="00E31AC4"/>
    <w:rsid w:val="00E32462"/>
    <w:rsid w:val="00E3463F"/>
    <w:rsid w:val="00E34B6C"/>
    <w:rsid w:val="00E361F5"/>
    <w:rsid w:val="00E40FE6"/>
    <w:rsid w:val="00E40FE8"/>
    <w:rsid w:val="00E41446"/>
    <w:rsid w:val="00E4193F"/>
    <w:rsid w:val="00E41B0C"/>
    <w:rsid w:val="00E42341"/>
    <w:rsid w:val="00E42867"/>
    <w:rsid w:val="00E42CBB"/>
    <w:rsid w:val="00E43520"/>
    <w:rsid w:val="00E43D61"/>
    <w:rsid w:val="00E44B8A"/>
    <w:rsid w:val="00E46295"/>
    <w:rsid w:val="00E513FC"/>
    <w:rsid w:val="00E516D9"/>
    <w:rsid w:val="00E52041"/>
    <w:rsid w:val="00E533B7"/>
    <w:rsid w:val="00E538FC"/>
    <w:rsid w:val="00E53B41"/>
    <w:rsid w:val="00E54818"/>
    <w:rsid w:val="00E54E2C"/>
    <w:rsid w:val="00E5716A"/>
    <w:rsid w:val="00E6166A"/>
    <w:rsid w:val="00E64356"/>
    <w:rsid w:val="00E65BE5"/>
    <w:rsid w:val="00E6669E"/>
    <w:rsid w:val="00E6682E"/>
    <w:rsid w:val="00E67A22"/>
    <w:rsid w:val="00E7044D"/>
    <w:rsid w:val="00E704EA"/>
    <w:rsid w:val="00E70611"/>
    <w:rsid w:val="00E713CD"/>
    <w:rsid w:val="00E736FF"/>
    <w:rsid w:val="00E764C3"/>
    <w:rsid w:val="00E765EF"/>
    <w:rsid w:val="00E800AF"/>
    <w:rsid w:val="00E8269E"/>
    <w:rsid w:val="00E82D9D"/>
    <w:rsid w:val="00E83C85"/>
    <w:rsid w:val="00E84623"/>
    <w:rsid w:val="00E85CDF"/>
    <w:rsid w:val="00E872C7"/>
    <w:rsid w:val="00E87808"/>
    <w:rsid w:val="00E8790A"/>
    <w:rsid w:val="00E87CD3"/>
    <w:rsid w:val="00E9064F"/>
    <w:rsid w:val="00E910A9"/>
    <w:rsid w:val="00E91247"/>
    <w:rsid w:val="00E92058"/>
    <w:rsid w:val="00E92069"/>
    <w:rsid w:val="00E92C64"/>
    <w:rsid w:val="00E95222"/>
    <w:rsid w:val="00E958E8"/>
    <w:rsid w:val="00E96623"/>
    <w:rsid w:val="00E96668"/>
    <w:rsid w:val="00EA0652"/>
    <w:rsid w:val="00EA2DB8"/>
    <w:rsid w:val="00EA33AA"/>
    <w:rsid w:val="00EA3ABB"/>
    <w:rsid w:val="00EA3C08"/>
    <w:rsid w:val="00EA75F9"/>
    <w:rsid w:val="00EB1681"/>
    <w:rsid w:val="00EB2CB4"/>
    <w:rsid w:val="00EB3E97"/>
    <w:rsid w:val="00EC14D0"/>
    <w:rsid w:val="00EC21F5"/>
    <w:rsid w:val="00EC26FE"/>
    <w:rsid w:val="00EC3B54"/>
    <w:rsid w:val="00EC49C1"/>
    <w:rsid w:val="00EC78FA"/>
    <w:rsid w:val="00ED01AD"/>
    <w:rsid w:val="00ED101D"/>
    <w:rsid w:val="00ED2146"/>
    <w:rsid w:val="00ED3A4A"/>
    <w:rsid w:val="00ED5710"/>
    <w:rsid w:val="00EE5946"/>
    <w:rsid w:val="00EE63FC"/>
    <w:rsid w:val="00EE6849"/>
    <w:rsid w:val="00EF0613"/>
    <w:rsid w:val="00EF2A94"/>
    <w:rsid w:val="00EF52A4"/>
    <w:rsid w:val="00F0078D"/>
    <w:rsid w:val="00F023EE"/>
    <w:rsid w:val="00F04525"/>
    <w:rsid w:val="00F04E5C"/>
    <w:rsid w:val="00F0582D"/>
    <w:rsid w:val="00F069BA"/>
    <w:rsid w:val="00F06F74"/>
    <w:rsid w:val="00F07A2D"/>
    <w:rsid w:val="00F11249"/>
    <w:rsid w:val="00F11F0B"/>
    <w:rsid w:val="00F1265E"/>
    <w:rsid w:val="00F129BB"/>
    <w:rsid w:val="00F13F50"/>
    <w:rsid w:val="00F14A5A"/>
    <w:rsid w:val="00F14C44"/>
    <w:rsid w:val="00F16B52"/>
    <w:rsid w:val="00F17658"/>
    <w:rsid w:val="00F17C0E"/>
    <w:rsid w:val="00F210AC"/>
    <w:rsid w:val="00F21403"/>
    <w:rsid w:val="00F249C2"/>
    <w:rsid w:val="00F253C7"/>
    <w:rsid w:val="00F2733C"/>
    <w:rsid w:val="00F279A4"/>
    <w:rsid w:val="00F30C0A"/>
    <w:rsid w:val="00F310D6"/>
    <w:rsid w:val="00F311C7"/>
    <w:rsid w:val="00F3490C"/>
    <w:rsid w:val="00F35481"/>
    <w:rsid w:val="00F3562D"/>
    <w:rsid w:val="00F35F47"/>
    <w:rsid w:val="00F3664A"/>
    <w:rsid w:val="00F4209F"/>
    <w:rsid w:val="00F42383"/>
    <w:rsid w:val="00F438B4"/>
    <w:rsid w:val="00F43CC8"/>
    <w:rsid w:val="00F4428C"/>
    <w:rsid w:val="00F4513B"/>
    <w:rsid w:val="00F469A1"/>
    <w:rsid w:val="00F47948"/>
    <w:rsid w:val="00F47BA8"/>
    <w:rsid w:val="00F50150"/>
    <w:rsid w:val="00F5048C"/>
    <w:rsid w:val="00F52791"/>
    <w:rsid w:val="00F54043"/>
    <w:rsid w:val="00F577C0"/>
    <w:rsid w:val="00F613BC"/>
    <w:rsid w:val="00F62B48"/>
    <w:rsid w:val="00F62E56"/>
    <w:rsid w:val="00F64C25"/>
    <w:rsid w:val="00F6525F"/>
    <w:rsid w:val="00F6669A"/>
    <w:rsid w:val="00F67366"/>
    <w:rsid w:val="00F67D49"/>
    <w:rsid w:val="00F70E3F"/>
    <w:rsid w:val="00F70FC0"/>
    <w:rsid w:val="00F71B14"/>
    <w:rsid w:val="00F731E5"/>
    <w:rsid w:val="00F7330B"/>
    <w:rsid w:val="00F73509"/>
    <w:rsid w:val="00F73D5D"/>
    <w:rsid w:val="00F763B1"/>
    <w:rsid w:val="00F765D2"/>
    <w:rsid w:val="00F81319"/>
    <w:rsid w:val="00F8194F"/>
    <w:rsid w:val="00F819C2"/>
    <w:rsid w:val="00F839F1"/>
    <w:rsid w:val="00F8574E"/>
    <w:rsid w:val="00F86FF1"/>
    <w:rsid w:val="00F911CC"/>
    <w:rsid w:val="00F93519"/>
    <w:rsid w:val="00F95905"/>
    <w:rsid w:val="00F967F6"/>
    <w:rsid w:val="00FA2A9F"/>
    <w:rsid w:val="00FA4DDD"/>
    <w:rsid w:val="00FB01B5"/>
    <w:rsid w:val="00FB0DA0"/>
    <w:rsid w:val="00FB2D8A"/>
    <w:rsid w:val="00FB3F04"/>
    <w:rsid w:val="00FB3FF4"/>
    <w:rsid w:val="00FB4BBC"/>
    <w:rsid w:val="00FB6327"/>
    <w:rsid w:val="00FC0943"/>
    <w:rsid w:val="00FC1F1B"/>
    <w:rsid w:val="00FC3036"/>
    <w:rsid w:val="00FC30F7"/>
    <w:rsid w:val="00FC3A86"/>
    <w:rsid w:val="00FC4760"/>
    <w:rsid w:val="00FC6F59"/>
    <w:rsid w:val="00FD2D9B"/>
    <w:rsid w:val="00FD4696"/>
    <w:rsid w:val="00FD502A"/>
    <w:rsid w:val="00FD52DD"/>
    <w:rsid w:val="00FD740F"/>
    <w:rsid w:val="00FE011D"/>
    <w:rsid w:val="00FE0561"/>
    <w:rsid w:val="00FE0974"/>
    <w:rsid w:val="00FE2FAF"/>
    <w:rsid w:val="00FE504D"/>
    <w:rsid w:val="00FE68A6"/>
    <w:rsid w:val="00FE76FD"/>
    <w:rsid w:val="00FF0C6B"/>
    <w:rsid w:val="00FF1396"/>
    <w:rsid w:val="00FF1C11"/>
    <w:rsid w:val="00FF36D3"/>
    <w:rsid w:val="00FF3D8E"/>
    <w:rsid w:val="01B4565D"/>
    <w:rsid w:val="088A7B34"/>
    <w:rsid w:val="095E5F91"/>
    <w:rsid w:val="0B670F71"/>
    <w:rsid w:val="0B9973E5"/>
    <w:rsid w:val="0CB12EA2"/>
    <w:rsid w:val="0E67273B"/>
    <w:rsid w:val="13620CCB"/>
    <w:rsid w:val="15E36764"/>
    <w:rsid w:val="15FA6493"/>
    <w:rsid w:val="16111CE9"/>
    <w:rsid w:val="1AE308B6"/>
    <w:rsid w:val="1AE97871"/>
    <w:rsid w:val="1B9D7AFD"/>
    <w:rsid w:val="1D0568F9"/>
    <w:rsid w:val="1F1C00CF"/>
    <w:rsid w:val="1F8D196D"/>
    <w:rsid w:val="240B700D"/>
    <w:rsid w:val="27BB14C9"/>
    <w:rsid w:val="28154AD5"/>
    <w:rsid w:val="29EA58C4"/>
    <w:rsid w:val="2A4674E4"/>
    <w:rsid w:val="2E8D75E1"/>
    <w:rsid w:val="31B85E62"/>
    <w:rsid w:val="326828E9"/>
    <w:rsid w:val="3AAA463A"/>
    <w:rsid w:val="41E942FB"/>
    <w:rsid w:val="437C1E1E"/>
    <w:rsid w:val="47A075D1"/>
    <w:rsid w:val="4A7D1106"/>
    <w:rsid w:val="51CD544A"/>
    <w:rsid w:val="524332F6"/>
    <w:rsid w:val="531D5B52"/>
    <w:rsid w:val="53330F89"/>
    <w:rsid w:val="54BE0739"/>
    <w:rsid w:val="5AE21025"/>
    <w:rsid w:val="5E897B2D"/>
    <w:rsid w:val="5EDD6C58"/>
    <w:rsid w:val="614950FB"/>
    <w:rsid w:val="62F013AC"/>
    <w:rsid w:val="6ECA21D9"/>
    <w:rsid w:val="70810A07"/>
    <w:rsid w:val="73040AD5"/>
    <w:rsid w:val="73AF05D6"/>
    <w:rsid w:val="749E2A1F"/>
    <w:rsid w:val="7E1228AA"/>
    <w:rsid w:val="7E763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rFonts w:ascii="楷体_GB2312" w:eastAsia="楷体_GB2312"/>
      <w:b/>
      <w:bCs/>
    </w:rPr>
  </w:style>
  <w:style w:type="paragraph" w:styleId="3">
    <w:name w:val="heading 2"/>
    <w:basedOn w:val="1"/>
    <w:next w:val="1"/>
    <w:link w:val="42"/>
    <w:qFormat/>
    <w:uiPriority w:val="0"/>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link w:val="54"/>
    <w:qFormat/>
    <w:uiPriority w:val="0"/>
    <w:pPr>
      <w:keepNext/>
      <w:keepLines/>
      <w:spacing w:before="260" w:after="260" w:line="416" w:lineRule="auto"/>
      <w:outlineLvl w:val="2"/>
    </w:pPr>
    <w:rPr>
      <w:b/>
      <w:bCs/>
      <w:sz w:val="32"/>
      <w:szCs w:val="32"/>
    </w:rPr>
  </w:style>
  <w:style w:type="paragraph" w:styleId="5">
    <w:name w:val="heading 4"/>
    <w:basedOn w:val="1"/>
    <w:next w:val="1"/>
    <w:link w:val="36"/>
    <w:qFormat/>
    <w:uiPriority w:val="0"/>
    <w:pPr>
      <w:keepNext/>
      <w:keepLines/>
      <w:spacing w:before="280" w:after="290" w:line="376" w:lineRule="auto"/>
      <w:outlineLvl w:val="3"/>
    </w:pPr>
    <w:rPr>
      <w:rFonts w:ascii="Cambria" w:hAnsi="Cambria"/>
      <w:b/>
      <w:bCs/>
      <w:sz w:val="28"/>
      <w:szCs w:val="28"/>
    </w:rPr>
  </w:style>
  <w:style w:type="paragraph" w:styleId="6">
    <w:name w:val="heading 6"/>
    <w:basedOn w:val="1"/>
    <w:next w:val="1"/>
    <w:qFormat/>
    <w:uiPriority w:val="0"/>
    <w:pPr>
      <w:keepNext/>
      <w:keepLines/>
      <w:spacing w:before="240" w:after="64" w:line="320" w:lineRule="auto"/>
      <w:outlineLvl w:val="5"/>
    </w:pPr>
    <w:rPr>
      <w:rFonts w:ascii="Arial" w:hAnsi="Arial" w:eastAsia="黑体"/>
      <w:b/>
      <w:bCs/>
      <w:sz w:val="24"/>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37"/>
    <w:qFormat/>
    <w:uiPriority w:val="0"/>
    <w:pPr>
      <w:adjustRightInd w:val="0"/>
      <w:spacing w:line="312" w:lineRule="atLeast"/>
      <w:ind w:firstLine="420"/>
      <w:textAlignment w:val="baseline"/>
    </w:pPr>
    <w:rPr>
      <w:kern w:val="0"/>
      <w:szCs w:val="20"/>
    </w:rPr>
  </w:style>
  <w:style w:type="paragraph" w:styleId="8">
    <w:name w:val="List Bullet"/>
    <w:qFormat/>
    <w:uiPriority w:val="0"/>
    <w:pPr>
      <w:tabs>
        <w:tab w:val="left" w:pos="420"/>
      </w:tabs>
      <w:spacing w:beforeLines="50" w:afterLines="50" w:line="300" w:lineRule="auto"/>
      <w:ind w:left="420" w:hanging="420"/>
    </w:pPr>
    <w:rPr>
      <w:rFonts w:ascii="Arial" w:hAnsi="Arial" w:eastAsia="宋体" w:cs="Times New Roman"/>
      <w:kern w:val="24"/>
      <w:sz w:val="24"/>
      <w:szCs w:val="24"/>
      <w:lang w:val="en-US" w:eastAsia="zh-CN" w:bidi="ar-SA"/>
    </w:rPr>
  </w:style>
  <w:style w:type="paragraph" w:styleId="9">
    <w:name w:val="Document Map"/>
    <w:basedOn w:val="1"/>
    <w:semiHidden/>
    <w:qFormat/>
    <w:uiPriority w:val="0"/>
    <w:pPr>
      <w:shd w:val="clear" w:color="auto" w:fill="000080"/>
    </w:pPr>
  </w:style>
  <w:style w:type="paragraph" w:styleId="10">
    <w:name w:val="annotation text"/>
    <w:basedOn w:val="1"/>
    <w:link w:val="50"/>
    <w:qFormat/>
    <w:uiPriority w:val="99"/>
    <w:pPr>
      <w:jc w:val="left"/>
    </w:pPr>
  </w:style>
  <w:style w:type="paragraph" w:styleId="11">
    <w:name w:val="Body Text"/>
    <w:basedOn w:val="1"/>
    <w:next w:val="12"/>
    <w:link w:val="53"/>
    <w:qFormat/>
    <w:uiPriority w:val="0"/>
    <w:pPr>
      <w:spacing w:after="120"/>
    </w:pPr>
  </w:style>
  <w:style w:type="paragraph" w:styleId="12">
    <w:name w:val="Body Text First Indent"/>
    <w:basedOn w:val="11"/>
    <w:next w:val="1"/>
    <w:link w:val="52"/>
    <w:qFormat/>
    <w:uiPriority w:val="99"/>
    <w:pPr>
      <w:ind w:firstLine="420" w:firstLineChars="100"/>
    </w:pPr>
  </w:style>
  <w:style w:type="paragraph" w:styleId="13">
    <w:name w:val="Body Text Indent"/>
    <w:basedOn w:val="1"/>
    <w:link w:val="38"/>
    <w:qFormat/>
    <w:uiPriority w:val="0"/>
    <w:pPr>
      <w:ind w:left="480" w:hanging="480" w:hangingChars="200"/>
    </w:pPr>
  </w:style>
  <w:style w:type="paragraph" w:styleId="14">
    <w:name w:val="toc 3"/>
    <w:basedOn w:val="1"/>
    <w:next w:val="1"/>
    <w:semiHidden/>
    <w:qFormat/>
    <w:uiPriority w:val="0"/>
    <w:pPr>
      <w:ind w:left="840" w:leftChars="400"/>
    </w:pPr>
  </w:style>
  <w:style w:type="paragraph" w:styleId="15">
    <w:name w:val="Plain Text"/>
    <w:basedOn w:val="1"/>
    <w:link w:val="63"/>
    <w:qFormat/>
    <w:uiPriority w:val="0"/>
    <w:pPr>
      <w:widowControl/>
      <w:overflowPunct w:val="0"/>
      <w:autoSpaceDE w:val="0"/>
      <w:autoSpaceDN w:val="0"/>
      <w:adjustRightInd w:val="0"/>
      <w:jc w:val="left"/>
      <w:textAlignment w:val="baseline"/>
    </w:pPr>
    <w:rPr>
      <w:rFonts w:ascii="宋体" w:hAnsi="Courier New"/>
      <w:kern w:val="0"/>
      <w:szCs w:val="21"/>
    </w:rPr>
  </w:style>
  <w:style w:type="paragraph" w:styleId="16">
    <w:name w:val="Date"/>
    <w:basedOn w:val="1"/>
    <w:next w:val="1"/>
    <w:qFormat/>
    <w:uiPriority w:val="0"/>
    <w:pPr>
      <w:ind w:left="100" w:leftChars="2500"/>
    </w:pPr>
  </w:style>
  <w:style w:type="paragraph" w:styleId="17">
    <w:name w:val="Body Text Indent 2"/>
    <w:basedOn w:val="1"/>
    <w:qFormat/>
    <w:uiPriority w:val="0"/>
    <w:pPr>
      <w:spacing w:line="500" w:lineRule="exact"/>
      <w:ind w:firstLine="511" w:firstLineChars="213"/>
    </w:pPr>
    <w:rPr>
      <w:sz w:val="24"/>
    </w:rPr>
  </w:style>
  <w:style w:type="paragraph" w:styleId="18">
    <w:name w:val="Balloon Text"/>
    <w:basedOn w:val="1"/>
    <w:semiHidden/>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tabs>
        <w:tab w:val="right" w:leader="dot" w:pos="9628"/>
      </w:tabs>
      <w:spacing w:line="480" w:lineRule="auto"/>
    </w:pPr>
    <w:rPr>
      <w:rFonts w:ascii="Arial" w:hAnsi="Arial" w:eastAsia="新宋体" w:cs="Arial"/>
      <w:bCs/>
      <w:sz w:val="24"/>
    </w:rPr>
  </w:style>
  <w:style w:type="paragraph" w:styleId="22">
    <w:name w:val="toc 6"/>
    <w:basedOn w:val="1"/>
    <w:next w:val="1"/>
    <w:qFormat/>
    <w:uiPriority w:val="0"/>
    <w:pPr>
      <w:ind w:left="2100" w:leftChars="1000"/>
    </w:pPr>
  </w:style>
  <w:style w:type="paragraph" w:styleId="23">
    <w:name w:val="Body Text Indent 3"/>
    <w:basedOn w:val="1"/>
    <w:qFormat/>
    <w:uiPriority w:val="0"/>
    <w:pPr>
      <w:spacing w:line="500" w:lineRule="exact"/>
      <w:ind w:left="511" w:hanging="511" w:hangingChars="213"/>
    </w:pPr>
    <w:rPr>
      <w:sz w:val="24"/>
    </w:rPr>
  </w:style>
  <w:style w:type="paragraph" w:styleId="24">
    <w:name w:val="toc 2"/>
    <w:basedOn w:val="1"/>
    <w:next w:val="1"/>
    <w:qFormat/>
    <w:uiPriority w:val="39"/>
    <w:pPr>
      <w:ind w:left="420" w:leftChars="200"/>
    </w:pPr>
  </w:style>
  <w:style w:type="paragraph" w:styleId="2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6">
    <w:name w:val="annotation subject"/>
    <w:basedOn w:val="10"/>
    <w:next w:val="10"/>
    <w:semiHidden/>
    <w:qFormat/>
    <w:uiPriority w:val="0"/>
    <w:rPr>
      <w:b/>
      <w:bCs/>
    </w:rPr>
  </w:style>
  <w:style w:type="paragraph" w:styleId="27">
    <w:name w:val="Body Text First Indent 2"/>
    <w:basedOn w:val="13"/>
    <w:link w:val="35"/>
    <w:qFormat/>
    <w:uiPriority w:val="0"/>
    <w:pPr>
      <w:ind w:firstLine="420" w:firstLineChars="200"/>
    </w:p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0"/>
    <w:rPr>
      <w:b/>
      <w:bCs/>
    </w:rPr>
  </w:style>
  <w:style w:type="character" w:styleId="32">
    <w:name w:val="page number"/>
    <w:basedOn w:val="30"/>
    <w:qFormat/>
    <w:uiPriority w:val="0"/>
  </w:style>
  <w:style w:type="character" w:styleId="33">
    <w:name w:val="Hyperlink"/>
    <w:qFormat/>
    <w:uiPriority w:val="99"/>
    <w:rPr>
      <w:color w:val="000000"/>
      <w:sz w:val="20"/>
      <w:szCs w:val="20"/>
      <w:u w:val="none"/>
    </w:rPr>
  </w:style>
  <w:style w:type="character" w:styleId="34">
    <w:name w:val="annotation reference"/>
    <w:semiHidden/>
    <w:qFormat/>
    <w:uiPriority w:val="0"/>
    <w:rPr>
      <w:sz w:val="21"/>
      <w:szCs w:val="21"/>
    </w:rPr>
  </w:style>
  <w:style w:type="character" w:customStyle="1" w:styleId="35">
    <w:name w:val="正文文本首行缩进 2 字符"/>
    <w:link w:val="27"/>
    <w:qFormat/>
    <w:uiPriority w:val="0"/>
    <w:rPr>
      <w:kern w:val="2"/>
      <w:sz w:val="21"/>
      <w:szCs w:val="24"/>
    </w:rPr>
  </w:style>
  <w:style w:type="character" w:customStyle="1" w:styleId="36">
    <w:name w:val="标题 4 字符"/>
    <w:link w:val="5"/>
    <w:semiHidden/>
    <w:qFormat/>
    <w:uiPriority w:val="0"/>
    <w:rPr>
      <w:rFonts w:ascii="Cambria" w:hAnsi="Cambria" w:eastAsia="宋体"/>
      <w:b/>
      <w:bCs/>
      <w:kern w:val="2"/>
      <w:sz w:val="28"/>
      <w:szCs w:val="28"/>
      <w:lang w:bidi="ar-SA"/>
    </w:rPr>
  </w:style>
  <w:style w:type="character" w:customStyle="1" w:styleId="37">
    <w:name w:val="正文缩进 字符"/>
    <w:link w:val="7"/>
    <w:qFormat/>
    <w:uiPriority w:val="0"/>
    <w:rPr>
      <w:rFonts w:eastAsia="宋体"/>
      <w:sz w:val="21"/>
      <w:lang w:val="en-US" w:eastAsia="zh-CN" w:bidi="ar-SA"/>
    </w:rPr>
  </w:style>
  <w:style w:type="character" w:customStyle="1" w:styleId="38">
    <w:name w:val="正文文本缩进 字符"/>
    <w:link w:val="13"/>
    <w:qFormat/>
    <w:uiPriority w:val="0"/>
    <w:rPr>
      <w:kern w:val="2"/>
      <w:sz w:val="21"/>
      <w:szCs w:val="24"/>
    </w:rPr>
  </w:style>
  <w:style w:type="character" w:customStyle="1" w:styleId="39">
    <w:name w:val="文档正文 Char"/>
    <w:link w:val="40"/>
    <w:qFormat/>
    <w:uiPriority w:val="0"/>
    <w:rPr>
      <w:rFonts w:ascii="Tahoma" w:hAnsi="Tahoma" w:eastAsia="仿宋_GB2312"/>
      <w:sz w:val="28"/>
      <w:lang w:val="en-US" w:eastAsia="zh-CN" w:bidi="ar-SA"/>
    </w:rPr>
  </w:style>
  <w:style w:type="paragraph" w:customStyle="1" w:styleId="40">
    <w:name w:val="文档正文"/>
    <w:basedOn w:val="1"/>
    <w:link w:val="39"/>
    <w:qFormat/>
    <w:uiPriority w:val="0"/>
    <w:pPr>
      <w:spacing w:line="360" w:lineRule="auto"/>
      <w:ind w:firstLine="480" w:firstLineChars="200"/>
    </w:pPr>
    <w:rPr>
      <w:rFonts w:ascii="Tahoma" w:hAnsi="Tahoma" w:eastAsia="仿宋_GB2312"/>
      <w:kern w:val="0"/>
      <w:sz w:val="28"/>
      <w:szCs w:val="20"/>
    </w:rPr>
  </w:style>
  <w:style w:type="character" w:customStyle="1" w:styleId="41">
    <w:name w:val="Char Char2"/>
    <w:qFormat/>
    <w:uiPriority w:val="0"/>
    <w:rPr>
      <w:rFonts w:ascii="宋体" w:hAnsi="Courier New" w:eastAsia="宋体"/>
      <w:kern w:val="2"/>
      <w:sz w:val="21"/>
      <w:lang w:val="en-US" w:eastAsia="zh-CN"/>
    </w:rPr>
  </w:style>
  <w:style w:type="character" w:customStyle="1" w:styleId="42">
    <w:name w:val="标题 2 字符"/>
    <w:link w:val="3"/>
    <w:semiHidden/>
    <w:qFormat/>
    <w:uiPriority w:val="0"/>
    <w:rPr>
      <w:rFonts w:ascii="等线 Light" w:hAnsi="等线 Light" w:eastAsia="等线 Light" w:cs="Times New Roman"/>
      <w:b/>
      <w:bCs/>
      <w:kern w:val="2"/>
      <w:sz w:val="32"/>
      <w:szCs w:val="32"/>
    </w:rPr>
  </w:style>
  <w:style w:type="character" w:customStyle="1" w:styleId="43">
    <w:name w:val="哈哈正文 Char"/>
    <w:link w:val="44"/>
    <w:qFormat/>
    <w:uiPriority w:val="0"/>
    <w:rPr>
      <w:rFonts w:ascii="宋体" w:hAnsi="宋体" w:eastAsia="宋体" w:cs="宋体"/>
      <w:kern w:val="2"/>
      <w:sz w:val="24"/>
      <w:lang w:val="en-US" w:eastAsia="zh-CN" w:bidi="ar-SA"/>
    </w:rPr>
  </w:style>
  <w:style w:type="paragraph" w:customStyle="1" w:styleId="44">
    <w:name w:val="哈哈正文"/>
    <w:basedOn w:val="1"/>
    <w:link w:val="43"/>
    <w:qFormat/>
    <w:uiPriority w:val="0"/>
    <w:pPr>
      <w:spacing w:line="360" w:lineRule="auto"/>
      <w:ind w:firstLine="200" w:firstLineChars="200"/>
    </w:pPr>
    <w:rPr>
      <w:rFonts w:ascii="宋体" w:hAnsi="宋体" w:cs="宋体"/>
      <w:sz w:val="24"/>
      <w:szCs w:val="20"/>
    </w:rPr>
  </w:style>
  <w:style w:type="character" w:customStyle="1" w:styleId="45">
    <w:name w:val="Char Char Char"/>
    <w:qFormat/>
    <w:uiPriority w:val="0"/>
    <w:rPr>
      <w:rFonts w:ascii="宋体" w:hAnsi="Courier New" w:eastAsia="宋体"/>
      <w:sz w:val="21"/>
      <w:szCs w:val="21"/>
      <w:lang w:val="en-US" w:eastAsia="zh-CN" w:bidi="ar-SA"/>
    </w:rPr>
  </w:style>
  <w:style w:type="character" w:customStyle="1" w:styleId="46">
    <w:name w:val="纯文本 Char2"/>
    <w:qFormat/>
    <w:uiPriority w:val="0"/>
    <w:rPr>
      <w:rFonts w:ascii="宋体,Verdana,Arial" w:hAnsi="Tahoma" w:eastAsia="宋体,Verdana,Arial"/>
      <w:sz w:val="21"/>
      <w:szCs w:val="21"/>
      <w:lang w:val="en-US" w:eastAsia="zh-CN" w:bidi="ar-SA"/>
    </w:rPr>
  </w:style>
  <w:style w:type="character" w:customStyle="1" w:styleId="47">
    <w:name w:val="样式6 列表并列 Char"/>
    <w:link w:val="48"/>
    <w:qFormat/>
    <w:locked/>
    <w:uiPriority w:val="0"/>
    <w:rPr>
      <w:rFonts w:ascii="Arial" w:hAnsi="Arial" w:cs="Arial"/>
      <w:kern w:val="21"/>
      <w:sz w:val="21"/>
      <w:szCs w:val="24"/>
    </w:rPr>
  </w:style>
  <w:style w:type="paragraph" w:customStyle="1" w:styleId="48">
    <w:name w:val="样式6 列表并列"/>
    <w:link w:val="47"/>
    <w:qFormat/>
    <w:uiPriority w:val="0"/>
    <w:pPr>
      <w:widowControl w:val="0"/>
      <w:tabs>
        <w:tab w:val="left" w:pos="0"/>
      </w:tabs>
      <w:spacing w:before="40" w:after="40" w:line="240" w:lineRule="atLeast"/>
      <w:ind w:left="840" w:hanging="420"/>
    </w:pPr>
    <w:rPr>
      <w:rFonts w:ascii="Arial" w:hAnsi="Arial" w:eastAsia="宋体" w:cs="Arial"/>
      <w:kern w:val="21"/>
      <w:sz w:val="21"/>
      <w:szCs w:val="24"/>
      <w:lang w:val="en-US" w:eastAsia="zh-CN" w:bidi="ar-SA"/>
    </w:rPr>
  </w:style>
  <w:style w:type="character" w:customStyle="1" w:styleId="49">
    <w:name w:val="Texte Char Char"/>
    <w:qFormat/>
    <w:uiPriority w:val="0"/>
    <w:rPr>
      <w:rFonts w:ascii="宋体" w:hAnsi="Courier New" w:eastAsia="宋体"/>
      <w:sz w:val="21"/>
      <w:szCs w:val="21"/>
      <w:lang w:val="en-US" w:eastAsia="zh-CN" w:bidi="ar-SA"/>
    </w:rPr>
  </w:style>
  <w:style w:type="character" w:customStyle="1" w:styleId="50">
    <w:name w:val="批注文字 字符"/>
    <w:link w:val="10"/>
    <w:qFormat/>
    <w:uiPriority w:val="99"/>
    <w:rPr>
      <w:kern w:val="2"/>
      <w:sz w:val="21"/>
      <w:szCs w:val="24"/>
    </w:rPr>
  </w:style>
  <w:style w:type="character" w:customStyle="1" w:styleId="51">
    <w:name w:val="area_1"/>
    <w:qFormat/>
    <w:uiPriority w:val="0"/>
    <w:rPr>
      <w:rFonts w:ascii="宋体" w:hAnsi="宋体"/>
      <w:sz w:val="24"/>
    </w:rPr>
  </w:style>
  <w:style w:type="character" w:customStyle="1" w:styleId="52">
    <w:name w:val="正文文本首行缩进 字符"/>
    <w:basedOn w:val="53"/>
    <w:link w:val="12"/>
    <w:qFormat/>
    <w:uiPriority w:val="0"/>
    <w:rPr>
      <w:kern w:val="2"/>
      <w:sz w:val="21"/>
      <w:szCs w:val="24"/>
    </w:rPr>
  </w:style>
  <w:style w:type="character" w:customStyle="1" w:styleId="53">
    <w:name w:val="正文文本 字符"/>
    <w:link w:val="11"/>
    <w:qFormat/>
    <w:uiPriority w:val="0"/>
    <w:rPr>
      <w:kern w:val="2"/>
      <w:sz w:val="21"/>
      <w:szCs w:val="24"/>
    </w:rPr>
  </w:style>
  <w:style w:type="character" w:customStyle="1" w:styleId="54">
    <w:name w:val="标题 3 字符"/>
    <w:link w:val="4"/>
    <w:qFormat/>
    <w:uiPriority w:val="0"/>
    <w:rPr>
      <w:b/>
      <w:bCs/>
      <w:kern w:val="2"/>
      <w:sz w:val="32"/>
      <w:szCs w:val="32"/>
      <w:lang w:bidi="ar-SA"/>
    </w:rPr>
  </w:style>
  <w:style w:type="character" w:customStyle="1" w:styleId="55">
    <w:name w:val="List Paragraph Char"/>
    <w:link w:val="56"/>
    <w:qFormat/>
    <w:uiPriority w:val="0"/>
    <w:rPr>
      <w:rFonts w:ascii="Calibri" w:hAnsi="Calibri" w:eastAsia="宋体"/>
      <w:kern w:val="2"/>
      <w:sz w:val="21"/>
      <w:szCs w:val="22"/>
      <w:lang w:val="en-US" w:eastAsia="zh-CN" w:bidi="ar-SA"/>
    </w:rPr>
  </w:style>
  <w:style w:type="paragraph" w:customStyle="1" w:styleId="56">
    <w:name w:val="列出段落1"/>
    <w:basedOn w:val="1"/>
    <w:link w:val="55"/>
    <w:qFormat/>
    <w:uiPriority w:val="0"/>
    <w:pPr>
      <w:ind w:firstLine="420" w:firstLineChars="200"/>
    </w:pPr>
    <w:rPr>
      <w:rFonts w:ascii="Calibri" w:hAnsi="Calibri"/>
      <w:szCs w:val="22"/>
    </w:rPr>
  </w:style>
  <w:style w:type="character" w:customStyle="1" w:styleId="57">
    <w:name w:val="列表段落 字符"/>
    <w:link w:val="58"/>
    <w:qFormat/>
    <w:locked/>
    <w:uiPriority w:val="0"/>
    <w:rPr>
      <w:kern w:val="2"/>
      <w:sz w:val="21"/>
      <w:szCs w:val="24"/>
    </w:rPr>
  </w:style>
  <w:style w:type="paragraph" w:styleId="58">
    <w:name w:val="List Paragraph"/>
    <w:basedOn w:val="1"/>
    <w:link w:val="57"/>
    <w:qFormat/>
    <w:uiPriority w:val="34"/>
    <w:pPr>
      <w:ind w:firstLine="420" w:firstLineChars="200"/>
    </w:pPr>
  </w:style>
  <w:style w:type="character" w:customStyle="1" w:styleId="59">
    <w:name w:val="unnamed51"/>
    <w:qFormat/>
    <w:uiPriority w:val="0"/>
    <w:rPr>
      <w:sz w:val="22"/>
      <w:szCs w:val="22"/>
    </w:rPr>
  </w:style>
  <w:style w:type="character" w:customStyle="1" w:styleId="60">
    <w:name w:val="p0 Char"/>
    <w:link w:val="61"/>
    <w:qFormat/>
    <w:locked/>
    <w:uiPriority w:val="99"/>
    <w:rPr>
      <w:rFonts w:ascii="Calibri" w:hAnsi="Calibri"/>
      <w:sz w:val="24"/>
    </w:rPr>
  </w:style>
  <w:style w:type="paragraph" w:customStyle="1" w:styleId="61">
    <w:name w:val="p0"/>
    <w:basedOn w:val="1"/>
    <w:link w:val="60"/>
    <w:qFormat/>
    <w:uiPriority w:val="99"/>
    <w:pPr>
      <w:widowControl/>
      <w:spacing w:before="100" w:after="100" w:line="360" w:lineRule="auto"/>
      <w:ind w:firstLine="200" w:firstLineChars="200"/>
    </w:pPr>
    <w:rPr>
      <w:rFonts w:ascii="Calibri" w:hAnsi="Calibri"/>
      <w:kern w:val="0"/>
      <w:sz w:val="24"/>
      <w:szCs w:val="20"/>
    </w:rPr>
  </w:style>
  <w:style w:type="character" w:customStyle="1" w:styleId="62">
    <w:name w:val="style21"/>
    <w:qFormat/>
    <w:uiPriority w:val="0"/>
    <w:rPr>
      <w:sz w:val="15"/>
      <w:szCs w:val="15"/>
    </w:rPr>
  </w:style>
  <w:style w:type="character" w:customStyle="1" w:styleId="63">
    <w:name w:val="纯文本 字符"/>
    <w:link w:val="15"/>
    <w:qFormat/>
    <w:uiPriority w:val="0"/>
    <w:rPr>
      <w:rFonts w:ascii="宋体" w:hAnsi="Courier New" w:eastAsia="宋体"/>
      <w:sz w:val="21"/>
      <w:szCs w:val="21"/>
      <w:lang w:val="en-US" w:eastAsia="zh-CN" w:bidi="ar-SA"/>
    </w:rPr>
  </w:style>
  <w:style w:type="paragraph" w:customStyle="1" w:styleId="64">
    <w:name w:val="Char Char"/>
    <w:basedOn w:val="1"/>
    <w:qFormat/>
    <w:uiPriority w:val="0"/>
    <w:rPr>
      <w:rFonts w:ascii="仿宋_GB2312" w:eastAsia="仿宋_GB2312"/>
      <w:b/>
      <w:sz w:val="32"/>
      <w:szCs w:val="32"/>
    </w:rPr>
  </w:style>
  <w:style w:type="paragraph" w:customStyle="1" w:styleId="65">
    <w:name w:val="Char Char1 Char Char Char Char Char Char"/>
    <w:basedOn w:val="1"/>
    <w:qFormat/>
    <w:uiPriority w:val="0"/>
    <w:pPr>
      <w:widowControl/>
      <w:spacing w:after="160" w:line="240" w:lineRule="exact"/>
      <w:jc w:val="left"/>
    </w:pPr>
    <w:rPr>
      <w:rFonts w:ascii="宋体" w:hAnsi="宋体" w:cs="宋体"/>
      <w:kern w:val="0"/>
      <w:szCs w:val="20"/>
    </w:rPr>
  </w:style>
  <w:style w:type="paragraph" w:customStyle="1" w:styleId="66">
    <w:name w:val="样式 Arial 小四 首行缩进:  0.85 厘米"/>
    <w:basedOn w:val="1"/>
    <w:qFormat/>
    <w:uiPriority w:val="0"/>
    <w:pPr>
      <w:spacing w:line="360" w:lineRule="auto"/>
      <w:ind w:firstLine="482"/>
    </w:pPr>
    <w:rPr>
      <w:rFonts w:ascii="Arial" w:hAnsi="Arial" w:cs="宋体"/>
      <w:sz w:val="24"/>
      <w:szCs w:val="20"/>
    </w:rPr>
  </w:style>
  <w:style w:type="paragraph" w:customStyle="1" w:styleId="67">
    <w:name w:val="保留正文"/>
    <w:basedOn w:val="11"/>
    <w:qFormat/>
    <w:uiPriority w:val="0"/>
    <w:pPr>
      <w:keepNext/>
      <w:spacing w:after="160"/>
    </w:pPr>
  </w:style>
  <w:style w:type="paragraph" w:customStyle="1" w:styleId="68">
    <w:name w:val="Char Char Char Char"/>
    <w:basedOn w:val="9"/>
    <w:qFormat/>
    <w:uiPriority w:val="0"/>
    <w:rPr>
      <w:rFonts w:ascii="Tahoma" w:hAnsi="Tahoma"/>
      <w:sz w:val="24"/>
    </w:rPr>
  </w:style>
  <w:style w:type="paragraph" w:customStyle="1" w:styleId="69">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kern w:val="0"/>
      <w:sz w:val="24"/>
    </w:rPr>
  </w:style>
  <w:style w:type="paragraph" w:customStyle="1" w:styleId="70">
    <w:name w:val="Char Char Char Char Char Char Char Char Char Char Char Char Char"/>
    <w:basedOn w:val="1"/>
    <w:qFormat/>
    <w:uiPriority w:val="0"/>
    <w:rPr>
      <w:rFonts w:ascii="Tahoma" w:hAnsi="Tahoma"/>
      <w:sz w:val="24"/>
      <w:szCs w:val="20"/>
    </w:rPr>
  </w:style>
  <w:style w:type="paragraph" w:customStyle="1" w:styleId="71">
    <w:name w:val="Char Char Char Char Char Char Char"/>
    <w:basedOn w:val="1"/>
    <w:qFormat/>
    <w:uiPriority w:val="0"/>
    <w:rPr>
      <w:rFonts w:ascii="仿宋_GB2312" w:eastAsia="仿宋_GB2312"/>
      <w:b/>
      <w:sz w:val="32"/>
      <w:szCs w:val="32"/>
    </w:rPr>
  </w:style>
  <w:style w:type="paragraph" w:customStyle="1" w:styleId="72">
    <w:name w:val="style31"/>
    <w:basedOn w:val="1"/>
    <w:qFormat/>
    <w:uiPriority w:val="0"/>
    <w:pPr>
      <w:widowControl/>
      <w:spacing w:before="100" w:beforeAutospacing="1" w:after="100" w:afterAutospacing="1"/>
      <w:jc w:val="left"/>
    </w:pPr>
    <w:rPr>
      <w:rFonts w:ascii="宋体" w:hAnsi="宋体" w:cs="宋体"/>
      <w:kern w:val="0"/>
      <w:sz w:val="24"/>
    </w:rPr>
  </w:style>
  <w:style w:type="paragraph" w:customStyle="1" w:styleId="73">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74">
    <w:name w:val="Char Char Char Char Char Char Char Char Char Char Char Char Char11"/>
    <w:basedOn w:val="1"/>
    <w:qFormat/>
    <w:uiPriority w:val="0"/>
    <w:rPr>
      <w:rFonts w:ascii="Tahoma" w:hAnsi="Tahoma"/>
      <w:sz w:val="24"/>
      <w:szCs w:val="20"/>
    </w:rPr>
  </w:style>
  <w:style w:type="paragraph" w:customStyle="1" w:styleId="75">
    <w:name w:val="_Style 44"/>
    <w:basedOn w:val="7"/>
    <w:qFormat/>
    <w:uiPriority w:val="0"/>
    <w:pPr>
      <w:framePr w:wrap="around" w:vAnchor="text" w:hAnchor="text" w:y="1"/>
      <w:adjustRightInd/>
      <w:spacing w:line="360" w:lineRule="auto"/>
      <w:ind w:firstLine="200" w:firstLineChars="200"/>
      <w:textAlignment w:val="auto"/>
    </w:pPr>
    <w:rPr>
      <w:kern w:val="2"/>
      <w:sz w:val="24"/>
      <w:szCs w:val="24"/>
    </w:rPr>
  </w:style>
  <w:style w:type="paragraph" w:customStyle="1" w:styleId="76">
    <w:name w:val="Char Char Char Char1"/>
    <w:basedOn w:val="1"/>
    <w:qFormat/>
    <w:uiPriority w:val="0"/>
    <w:rPr>
      <w:rFonts w:ascii="Tahoma" w:hAnsi="Tahoma"/>
      <w:sz w:val="24"/>
      <w:szCs w:val="20"/>
    </w:rPr>
  </w:style>
  <w:style w:type="paragraph" w:customStyle="1" w:styleId="77">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8">
    <w:name w:val="Char1 Char Char Char"/>
    <w:basedOn w:val="1"/>
    <w:qFormat/>
    <w:uiPriority w:val="0"/>
    <w:rPr>
      <w:rFonts w:ascii="Tahoma" w:hAnsi="Tahoma"/>
      <w:sz w:val="24"/>
      <w:szCs w:val="20"/>
    </w:rPr>
  </w:style>
  <w:style w:type="paragraph" w:customStyle="1" w:styleId="79">
    <w:name w:val="xl55"/>
    <w:basedOn w:val="1"/>
    <w:qFormat/>
    <w:uiPriority w:val="0"/>
    <w:pPr>
      <w:widowControl/>
      <w:spacing w:before="100" w:beforeAutospacing="1" w:after="100" w:afterAutospacing="1"/>
      <w:jc w:val="center"/>
      <w:textAlignment w:val="center"/>
    </w:pPr>
    <w:rPr>
      <w:rFonts w:ascii="Arial Unicode MS" w:hAnsi="Arial Unicode MS"/>
      <w:kern w:val="0"/>
      <w:sz w:val="24"/>
      <w:szCs w:val="20"/>
    </w:rPr>
  </w:style>
  <w:style w:type="paragraph" w:customStyle="1" w:styleId="80">
    <w:name w:val="简单回函地址"/>
    <w:basedOn w:val="1"/>
    <w:qFormat/>
    <w:uiPriority w:val="0"/>
  </w:style>
  <w:style w:type="paragraph" w:customStyle="1" w:styleId="81">
    <w:name w:val="Char Char Char Char Char Char Char Char Char Char Char Char Char1"/>
    <w:basedOn w:val="1"/>
    <w:qFormat/>
    <w:uiPriority w:val="0"/>
    <w:rPr>
      <w:rFonts w:ascii="Tahoma" w:hAnsi="Tahoma"/>
      <w:sz w:val="24"/>
      <w:szCs w:val="20"/>
    </w:rPr>
  </w:style>
  <w:style w:type="paragraph" w:customStyle="1" w:styleId="82">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83">
    <w:name w:val="Char Char7 Char"/>
    <w:basedOn w:val="1"/>
    <w:qFormat/>
    <w:uiPriority w:val="0"/>
    <w:pPr>
      <w:tabs>
        <w:tab w:val="left" w:pos="425"/>
      </w:tabs>
      <w:ind w:left="420" w:leftChars="200" w:firstLine="270" w:firstLineChars="150"/>
    </w:pPr>
  </w:style>
  <w:style w:type="paragraph" w:customStyle="1" w:styleId="84">
    <w:name w:val="Default"/>
    <w:qFormat/>
    <w:uiPriority w:val="0"/>
    <w:pPr>
      <w:widowControl w:val="0"/>
      <w:autoSpaceDE w:val="0"/>
      <w:autoSpaceDN w:val="0"/>
      <w:adjustRightInd w:val="0"/>
    </w:pPr>
    <w:rPr>
      <w:rFonts w:ascii="仿宋_GB2312" w:hAnsi="Times New Roman" w:eastAsia="宋体" w:cs="仿宋_GB2312"/>
      <w:color w:val="000000"/>
      <w:sz w:val="24"/>
      <w:szCs w:val="24"/>
      <w:lang w:val="en-US" w:eastAsia="zh-CN" w:bidi="ar-SA"/>
    </w:rPr>
  </w:style>
  <w:style w:type="paragraph" w:customStyle="1" w:styleId="85">
    <w:name w:val="Char Char Char Char Char Char Char1"/>
    <w:basedOn w:val="1"/>
    <w:qFormat/>
    <w:uiPriority w:val="0"/>
    <w:rPr>
      <w:rFonts w:ascii="仿宋_GB2312" w:eastAsia="仿宋_GB2312"/>
      <w:b/>
      <w:sz w:val="32"/>
      <w:szCs w:val="32"/>
    </w:rPr>
  </w:style>
  <w:style w:type="paragraph" w:customStyle="1" w:styleId="86">
    <w:name w:val="正文2"/>
    <w:basedOn w:val="1"/>
    <w:qFormat/>
    <w:uiPriority w:val="0"/>
    <w:pPr>
      <w:spacing w:before="156" w:line="360" w:lineRule="auto"/>
      <w:ind w:firstLine="510" w:firstLineChars="200"/>
    </w:pPr>
    <w:rPr>
      <w:sz w:val="24"/>
      <w:szCs w:val="20"/>
    </w:rPr>
  </w:style>
  <w:style w:type="paragraph" w:customStyle="1" w:styleId="87">
    <w:name w:val="正文－恩普"/>
    <w:basedOn w:val="7"/>
    <w:qFormat/>
    <w:uiPriority w:val="0"/>
    <w:pPr>
      <w:framePr w:wrap="around" w:vAnchor="text" w:hAnchor="text" w:y="1"/>
      <w:adjustRightInd/>
      <w:spacing w:line="360" w:lineRule="auto"/>
      <w:ind w:firstLine="200" w:firstLineChars="200"/>
      <w:textAlignment w:val="auto"/>
    </w:pPr>
    <w:rPr>
      <w:kern w:val="2"/>
      <w:sz w:val="24"/>
      <w:szCs w:val="24"/>
    </w:rPr>
  </w:style>
  <w:style w:type="paragraph" w:styleId="88">
    <w:name w:val="No Spacing"/>
    <w:qFormat/>
    <w:uiPriority w:val="1"/>
    <w:pPr>
      <w:adjustRightInd w:val="0"/>
      <w:snapToGrid w:val="0"/>
    </w:pPr>
    <w:rPr>
      <w:rFonts w:ascii="Tahoma" w:hAnsi="Tahoma" w:eastAsia="微软雅黑"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41</Pages>
  <Words>23616</Words>
  <Characters>25715</Characters>
  <Lines>134</Lines>
  <Paragraphs>37</Paragraphs>
  <TotalTime>14</TotalTime>
  <ScaleCrop>false</ScaleCrop>
  <LinksUpToDate>false</LinksUpToDate>
  <CharactersWithSpaces>27103</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2020-08-24T08:12:00Z</dcterms:created>
  <dc:creator>LCMZX</dc:creator>
  <cp:lastModifiedBy>Administrator</cp:lastModifiedBy>
  <cp:lastPrinted>2013-11-28T06:46:00Z</cp:lastPrinted>
  <dcterms:modified xsi:type="dcterms:W3CDTF">2022-05-27T01:50:15Z</dcterms:modified>
  <dc:title>温州市政府采购</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3FCEAA9E6D2E441C9E228A991869663A</vt:lpwstr>
  </property>
</Properties>
</file>