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2"/>
          <w:szCs w:val="32"/>
          <w:highlight w:val="none"/>
        </w:rPr>
      </w:pPr>
      <w:r>
        <w:rPr>
          <w:rFonts w:hint="eastAsia" w:ascii="宋体" w:hAnsi="宋体" w:cs="宋体"/>
          <w:b/>
          <w:bCs/>
          <w:sz w:val="32"/>
          <w:szCs w:val="32"/>
          <w:highlight w:val="none"/>
        </w:rPr>
        <w:t>采购需求</w:t>
      </w:r>
    </w:p>
    <w:p>
      <w:pPr>
        <w:snapToGrid w:val="0"/>
        <w:spacing w:line="360" w:lineRule="exact"/>
        <w:rPr>
          <w:rFonts w:hint="eastAsia" w:ascii="宋体" w:hAnsi="宋体" w:cs="宋体"/>
          <w:b/>
          <w:bCs/>
          <w:spacing w:val="-6"/>
          <w:sz w:val="22"/>
          <w:szCs w:val="22"/>
          <w:highlight w:val="none"/>
        </w:rPr>
      </w:pPr>
      <w:bookmarkStart w:id="0" w:name="_Toc479839540"/>
      <w:r>
        <w:rPr>
          <w:rFonts w:hint="eastAsia" w:ascii="宋体" w:hAnsi="宋体" w:cs="宋体"/>
          <w:b/>
          <w:bCs/>
          <w:spacing w:val="-6"/>
          <w:sz w:val="22"/>
          <w:szCs w:val="22"/>
          <w:highlight w:val="none"/>
        </w:rPr>
        <w:t>一、采购内容及数量</w:t>
      </w:r>
    </w:p>
    <w:tbl>
      <w:tblPr>
        <w:tblStyle w:val="5"/>
        <w:tblW w:w="0" w:type="auto"/>
        <w:jc w:val="center"/>
        <w:tblLayout w:type="fixed"/>
        <w:tblCellMar>
          <w:top w:w="0" w:type="dxa"/>
          <w:left w:w="108" w:type="dxa"/>
          <w:bottom w:w="0" w:type="dxa"/>
          <w:right w:w="108" w:type="dxa"/>
        </w:tblCellMar>
      </w:tblPr>
      <w:tblGrid>
        <w:gridCol w:w="1038"/>
        <w:gridCol w:w="1381"/>
        <w:gridCol w:w="2157"/>
        <w:gridCol w:w="1121"/>
        <w:gridCol w:w="3629"/>
      </w:tblGrid>
      <w:tr>
        <w:tblPrEx>
          <w:tblCellMar>
            <w:top w:w="0" w:type="dxa"/>
            <w:left w:w="108" w:type="dxa"/>
            <w:bottom w:w="0" w:type="dxa"/>
            <w:right w:w="108" w:type="dxa"/>
          </w:tblCellMar>
        </w:tblPrEx>
        <w:trPr>
          <w:trHeight w:val="454"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highlight w:val="none"/>
              </w:rPr>
            </w:pPr>
            <w:r>
              <w:rPr>
                <w:rFonts w:hint="eastAsia" w:ascii="宋体" w:hAnsi="宋体" w:cs="宋体"/>
                <w:sz w:val="22"/>
                <w:szCs w:val="22"/>
                <w:highlight w:val="none"/>
              </w:rPr>
              <w:t>序号</w:t>
            </w:r>
          </w:p>
        </w:tc>
        <w:tc>
          <w:tcPr>
            <w:tcW w:w="1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项目内容</w:t>
            </w:r>
          </w:p>
        </w:tc>
        <w:tc>
          <w:tcPr>
            <w:tcW w:w="215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 xml:space="preserve">数量 </w:t>
            </w:r>
          </w:p>
        </w:tc>
        <w:tc>
          <w:tcPr>
            <w:tcW w:w="1121"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ascii="宋体" w:hAnsi="宋体" w:cs="宋体"/>
                <w:sz w:val="22"/>
                <w:szCs w:val="22"/>
                <w:highlight w:val="none"/>
              </w:rPr>
            </w:pPr>
            <w:r>
              <w:rPr>
                <w:rFonts w:hint="eastAsia" w:ascii="宋体" w:hAnsi="宋体" w:cs="宋体"/>
                <w:sz w:val="22"/>
                <w:szCs w:val="22"/>
                <w:highlight w:val="none"/>
              </w:rPr>
              <w:t>单套控制价</w:t>
            </w:r>
          </w:p>
        </w:tc>
        <w:tc>
          <w:tcPr>
            <w:tcW w:w="3629"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highlight w:val="none"/>
              </w:rPr>
            </w:pPr>
            <w:r>
              <w:rPr>
                <w:rFonts w:hint="eastAsia" w:ascii="宋体" w:hAnsi="宋体" w:cs="宋体"/>
                <w:sz w:val="22"/>
                <w:szCs w:val="22"/>
                <w:highlight w:val="none"/>
              </w:rPr>
              <w:t>备注</w:t>
            </w:r>
          </w:p>
        </w:tc>
      </w:tr>
      <w:tr>
        <w:tblPrEx>
          <w:tblCellMar>
            <w:top w:w="0" w:type="dxa"/>
            <w:left w:w="108" w:type="dxa"/>
            <w:bottom w:w="0" w:type="dxa"/>
            <w:right w:w="108" w:type="dxa"/>
          </w:tblCellMar>
        </w:tblPrEx>
        <w:trPr>
          <w:trHeight w:val="516" w:hRule="atLeast"/>
          <w:jc w:val="center"/>
        </w:trPr>
        <w:tc>
          <w:tcPr>
            <w:tcW w:w="103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1</w:t>
            </w:r>
          </w:p>
        </w:tc>
        <w:tc>
          <w:tcPr>
            <w:tcW w:w="1381"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 xml:space="preserve">新生床上用品 </w:t>
            </w:r>
          </w:p>
        </w:tc>
        <w:tc>
          <w:tcPr>
            <w:tcW w:w="2157"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40" w:lineRule="exact"/>
              <w:jc w:val="left"/>
              <w:rPr>
                <w:rFonts w:hint="default" w:ascii="宋体" w:hAnsi="宋体" w:eastAsia="宋体" w:cs="宋体"/>
                <w:sz w:val="22"/>
                <w:szCs w:val="22"/>
                <w:highlight w:val="none"/>
                <w:lang w:val="en-US" w:eastAsia="zh-CN"/>
              </w:rPr>
            </w:pPr>
            <w:r>
              <w:rPr>
                <w:rFonts w:hint="eastAsia" w:ascii="宋体" w:hAnsi="宋体" w:cs="宋体"/>
                <w:spacing w:val="-6"/>
                <w:kern w:val="0"/>
                <w:sz w:val="22"/>
                <w:szCs w:val="22"/>
                <w:highlight w:val="none"/>
                <w:lang w:eastAsia="zh-CN"/>
              </w:rPr>
              <w:t>温州大学</w:t>
            </w:r>
            <w:r>
              <w:rPr>
                <w:rFonts w:hint="eastAsia" w:ascii="宋体" w:hAnsi="宋体" w:cs="宋体"/>
                <w:spacing w:val="-6"/>
                <w:kern w:val="0"/>
                <w:sz w:val="22"/>
                <w:szCs w:val="22"/>
                <w:highlight w:val="none"/>
              </w:rPr>
              <w:t>约7000套</w:t>
            </w:r>
            <w:r>
              <w:rPr>
                <w:rFonts w:hint="eastAsia" w:ascii="宋体" w:hAnsi="宋体" w:cs="宋体"/>
                <w:spacing w:val="-6"/>
                <w:kern w:val="0"/>
                <w:sz w:val="22"/>
                <w:szCs w:val="22"/>
                <w:highlight w:val="none"/>
                <w:lang w:eastAsia="zh-CN"/>
              </w:rPr>
              <w:t>、温州职业技术学院约</w:t>
            </w:r>
            <w:r>
              <w:rPr>
                <w:rFonts w:hint="eastAsia" w:ascii="宋体" w:hAnsi="宋体" w:cs="宋体"/>
                <w:spacing w:val="-6"/>
                <w:kern w:val="0"/>
                <w:sz w:val="22"/>
                <w:szCs w:val="22"/>
                <w:highlight w:val="none"/>
                <w:lang w:val="en-US" w:eastAsia="zh-CN"/>
              </w:rPr>
              <w:t xml:space="preserve">4500套、浙江东方职业技术学院约2000套、温州肯恩大学约1000套 </w:t>
            </w:r>
          </w:p>
        </w:tc>
        <w:tc>
          <w:tcPr>
            <w:tcW w:w="1121"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eastAsia="宋体" w:cs="宋体"/>
                <w:sz w:val="22"/>
                <w:szCs w:val="22"/>
                <w:highlight w:val="none"/>
                <w:lang w:eastAsia="zh-CN"/>
              </w:rPr>
            </w:pPr>
            <w:r>
              <w:rPr>
                <w:rFonts w:hint="eastAsia" w:ascii="宋体" w:hAnsi="宋体" w:cs="宋体"/>
                <w:sz w:val="22"/>
                <w:szCs w:val="22"/>
                <w:highlight w:val="none"/>
                <w:lang w:eastAsia="zh-CN"/>
              </w:rPr>
              <w:t>490元</w:t>
            </w:r>
          </w:p>
        </w:tc>
        <w:tc>
          <w:tcPr>
            <w:tcW w:w="3629" w:type="dxa"/>
            <w:tcBorders>
              <w:top w:val="single" w:color="000000"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highlight w:val="none"/>
              </w:rPr>
            </w:pPr>
            <w:r>
              <w:rPr>
                <w:rFonts w:hint="eastAsia" w:ascii="宋体" w:hAnsi="宋体"/>
                <w:sz w:val="22"/>
                <w:szCs w:val="22"/>
                <w:highlight w:val="none"/>
                <w:lang w:eastAsia="zh-CN"/>
              </w:rPr>
              <w:t>网络线上订购（个别学校线下</w:t>
            </w:r>
            <w:r>
              <w:rPr>
                <w:rFonts w:hint="eastAsia" w:ascii="宋体" w:hAnsi="宋体"/>
                <w:sz w:val="22"/>
                <w:szCs w:val="22"/>
                <w:highlight w:val="none"/>
                <w:lang w:val="en-US" w:eastAsia="zh-CN"/>
              </w:rPr>
              <w:t>销售</w:t>
            </w:r>
            <w:r>
              <w:rPr>
                <w:rFonts w:hint="eastAsia" w:ascii="宋体" w:hAnsi="宋体"/>
                <w:sz w:val="22"/>
                <w:szCs w:val="22"/>
                <w:highlight w:val="none"/>
                <w:lang w:eastAsia="zh-CN"/>
              </w:rPr>
              <w:t>）</w:t>
            </w:r>
            <w:r>
              <w:rPr>
                <w:rFonts w:hint="eastAsia" w:ascii="宋体" w:hAnsi="宋体"/>
                <w:sz w:val="22"/>
                <w:szCs w:val="22"/>
                <w:highlight w:val="none"/>
              </w:rPr>
              <w:t>、</w:t>
            </w:r>
            <w:r>
              <w:rPr>
                <w:rFonts w:hint="eastAsia" w:ascii="宋体" w:hAnsi="宋体"/>
                <w:b/>
                <w:bCs/>
                <w:sz w:val="22"/>
                <w:szCs w:val="22"/>
                <w:highlight w:val="none"/>
              </w:rPr>
              <w:t>学生自愿购买</w:t>
            </w:r>
            <w:r>
              <w:rPr>
                <w:rFonts w:hint="eastAsia" w:ascii="宋体" w:hAnsi="宋体"/>
                <w:sz w:val="22"/>
                <w:szCs w:val="22"/>
                <w:highlight w:val="none"/>
              </w:rPr>
              <w:t>、</w:t>
            </w:r>
            <w:r>
              <w:rPr>
                <w:rFonts w:hint="eastAsia" w:ascii="宋体" w:hAnsi="宋体" w:cs="宋体"/>
                <w:snapToGrid w:val="0"/>
                <w:sz w:val="22"/>
                <w:szCs w:val="22"/>
                <w:highlight w:val="none"/>
              </w:rPr>
              <w:t>收款方式支持二维码收款（微信或支付宝）</w:t>
            </w:r>
          </w:p>
        </w:tc>
      </w:tr>
    </w:tbl>
    <w:p>
      <w:pPr>
        <w:numPr>
          <w:ilvl w:val="0"/>
          <w:numId w:val="1"/>
        </w:numPr>
        <w:snapToGrid w:val="0"/>
        <w:spacing w:line="360" w:lineRule="exact"/>
        <w:outlineLvl w:val="0"/>
        <w:rPr>
          <w:rFonts w:hint="eastAsia" w:ascii="宋体" w:hAnsi="宋体" w:cs="宋体"/>
          <w:b/>
          <w:spacing w:val="-6"/>
          <w:sz w:val="22"/>
          <w:szCs w:val="22"/>
          <w:highlight w:val="none"/>
        </w:rPr>
      </w:pPr>
      <w:r>
        <w:rPr>
          <w:rFonts w:hint="eastAsia" w:ascii="宋体" w:hAnsi="宋体" w:cs="宋体"/>
          <w:b/>
          <w:spacing w:val="-6"/>
          <w:sz w:val="22"/>
          <w:szCs w:val="22"/>
          <w:highlight w:val="none"/>
        </w:rPr>
        <w:t>商务要求（技术要求里另有注明的以技术要求为准）</w:t>
      </w:r>
    </w:p>
    <w:tbl>
      <w:tblPr>
        <w:tblStyle w:val="5"/>
        <w:tblW w:w="91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90"/>
        <w:gridCol w:w="72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1890" w:type="dxa"/>
            <w:tcBorders>
              <w:top w:val="single" w:color="auto" w:sz="4" w:space="0"/>
              <w:bottom w:val="single" w:color="auto" w:sz="4" w:space="0"/>
              <w:right w:val="single" w:color="auto" w:sz="4" w:space="0"/>
            </w:tcBorders>
            <w:noWrap w:val="0"/>
            <w:vAlign w:val="center"/>
          </w:tcPr>
          <w:p>
            <w:pPr>
              <w:snapToGrid w:val="0"/>
              <w:spacing w:line="400" w:lineRule="exact"/>
              <w:jc w:val="center"/>
              <w:rPr>
                <w:rFonts w:ascii="宋体"/>
                <w:spacing w:val="-6"/>
                <w:sz w:val="22"/>
                <w:highlight w:val="none"/>
              </w:rPr>
            </w:pPr>
            <w:r>
              <w:rPr>
                <w:rFonts w:hint="eastAsia" w:ascii="宋体" w:hAnsi="宋体"/>
                <w:spacing w:val="-6"/>
                <w:sz w:val="22"/>
                <w:highlight w:val="none"/>
              </w:rPr>
              <w:t>质保期</w:t>
            </w:r>
          </w:p>
        </w:tc>
        <w:tc>
          <w:tcPr>
            <w:tcW w:w="7247" w:type="dxa"/>
            <w:tcBorders>
              <w:top w:val="single" w:color="auto" w:sz="4" w:space="0"/>
              <w:left w:val="single" w:color="auto" w:sz="4" w:space="0"/>
              <w:bottom w:val="single" w:color="auto" w:sz="4" w:space="0"/>
            </w:tcBorders>
            <w:noWrap w:val="0"/>
            <w:vAlign w:val="center"/>
          </w:tcPr>
          <w:p>
            <w:pPr>
              <w:snapToGrid w:val="0"/>
              <w:spacing w:line="400" w:lineRule="exact"/>
              <w:rPr>
                <w:rFonts w:ascii="宋体"/>
                <w:spacing w:val="-6"/>
                <w:sz w:val="22"/>
                <w:highlight w:val="none"/>
              </w:rPr>
            </w:pPr>
            <w:r>
              <w:rPr>
                <w:rFonts w:hint="eastAsia" w:ascii="宋体" w:hAnsi="宋体"/>
                <w:spacing w:val="-6"/>
                <w:sz w:val="22"/>
                <w:highlight w:val="none"/>
              </w:rPr>
              <w:t>不少于四年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890" w:type="dxa"/>
            <w:tcBorders>
              <w:top w:val="single" w:color="auto" w:sz="4" w:space="0"/>
              <w:bottom w:val="single" w:color="auto" w:sz="4" w:space="0"/>
              <w:right w:val="single" w:color="auto" w:sz="4" w:space="0"/>
            </w:tcBorders>
            <w:noWrap w:val="0"/>
            <w:vAlign w:val="center"/>
          </w:tcPr>
          <w:p>
            <w:pPr>
              <w:snapToGrid w:val="0"/>
              <w:spacing w:line="400" w:lineRule="exact"/>
              <w:jc w:val="center"/>
              <w:rPr>
                <w:rFonts w:ascii="宋体"/>
                <w:spacing w:val="-6"/>
                <w:sz w:val="22"/>
                <w:highlight w:val="none"/>
              </w:rPr>
            </w:pPr>
            <w:r>
              <w:rPr>
                <w:rFonts w:hint="eastAsia" w:ascii="宋体" w:hAnsi="宋体"/>
                <w:spacing w:val="-6"/>
                <w:sz w:val="22"/>
                <w:highlight w:val="none"/>
              </w:rPr>
              <w:t>售后服务要求</w:t>
            </w:r>
          </w:p>
        </w:tc>
        <w:tc>
          <w:tcPr>
            <w:tcW w:w="7247" w:type="dxa"/>
            <w:tcBorders>
              <w:top w:val="single" w:color="auto" w:sz="4" w:space="0"/>
              <w:left w:val="single" w:color="auto" w:sz="4" w:space="0"/>
              <w:bottom w:val="single" w:color="auto" w:sz="4" w:space="0"/>
            </w:tcBorders>
            <w:noWrap w:val="0"/>
            <w:vAlign w:val="center"/>
          </w:tcPr>
          <w:p>
            <w:pPr>
              <w:autoSpaceDE w:val="0"/>
              <w:autoSpaceDN w:val="0"/>
              <w:adjustRightInd w:val="0"/>
              <w:snapToGrid w:val="0"/>
              <w:spacing w:line="400" w:lineRule="exact"/>
              <w:textAlignment w:val="bottom"/>
              <w:rPr>
                <w:rFonts w:ascii="宋体" w:hAnsi="宋体"/>
                <w:sz w:val="22"/>
                <w:highlight w:val="none"/>
              </w:rPr>
            </w:pPr>
            <w:r>
              <w:rPr>
                <w:rFonts w:hint="eastAsia" w:ascii="宋体" w:hAnsi="宋体"/>
                <w:sz w:val="22"/>
                <w:highlight w:val="none"/>
              </w:rPr>
              <w:t>1.中标供应商在供货时提供浙江省纤维检验局或有相应检测资质的检测单位出具的梳棉盖胎、垫胎、棉布产品检测报告，并主动配合采购人随机抽查一套产品以备省教育厅或纤维检验局来校抽查普查。</w:t>
            </w:r>
          </w:p>
          <w:p>
            <w:pPr>
              <w:autoSpaceDE w:val="0"/>
              <w:autoSpaceDN w:val="0"/>
              <w:adjustRightInd w:val="0"/>
              <w:snapToGrid w:val="0"/>
              <w:spacing w:line="400" w:lineRule="exact"/>
              <w:textAlignment w:val="bottom"/>
              <w:rPr>
                <w:rFonts w:ascii="宋体" w:hAnsi="宋体"/>
                <w:sz w:val="22"/>
                <w:highlight w:val="none"/>
              </w:rPr>
            </w:pPr>
            <w:r>
              <w:rPr>
                <w:rFonts w:hint="eastAsia" w:ascii="宋体" w:hAnsi="宋体"/>
                <w:sz w:val="22"/>
                <w:highlight w:val="none"/>
              </w:rPr>
              <w:t>2.质保期内因货物本身质量问题造成一切后果应由中标方负责，并免费予以更换，否则将扣除履约保证金作为对采购人及有关学生（购买人）的补偿。履约保证金不足以弥补采购人及购买人损失的，采购人保留追责的权利，中标供应商仍负有赔偿义务。</w:t>
            </w:r>
          </w:p>
          <w:p>
            <w:pPr>
              <w:autoSpaceDE w:val="0"/>
              <w:autoSpaceDN w:val="0"/>
              <w:adjustRightInd w:val="0"/>
              <w:snapToGrid w:val="0"/>
              <w:spacing w:line="400" w:lineRule="exact"/>
              <w:textAlignment w:val="bottom"/>
              <w:rPr>
                <w:rFonts w:ascii="宋体"/>
                <w:spacing w:val="-6"/>
                <w:sz w:val="22"/>
                <w:highlight w:val="none"/>
              </w:rPr>
            </w:pPr>
            <w:r>
              <w:rPr>
                <w:rFonts w:hint="eastAsia" w:ascii="宋体" w:hAnsi="宋体"/>
                <w:sz w:val="22"/>
                <w:highlight w:val="none"/>
              </w:rPr>
              <w:t>3.被工商、质检部门检测为不合格产品的，中标供应商除免费予以更换外，承担相应处罚和处理。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1890" w:type="dxa"/>
            <w:tcBorders>
              <w:top w:val="single" w:color="auto" w:sz="4" w:space="0"/>
              <w:bottom w:val="single" w:color="auto" w:sz="4" w:space="0"/>
              <w:right w:val="single" w:color="auto" w:sz="4" w:space="0"/>
            </w:tcBorders>
            <w:noWrap w:val="0"/>
            <w:vAlign w:val="center"/>
          </w:tcPr>
          <w:p>
            <w:pPr>
              <w:snapToGrid w:val="0"/>
              <w:spacing w:line="400" w:lineRule="exact"/>
              <w:jc w:val="center"/>
              <w:rPr>
                <w:rFonts w:ascii="宋体"/>
                <w:spacing w:val="-6"/>
                <w:sz w:val="22"/>
                <w:highlight w:val="none"/>
              </w:rPr>
            </w:pPr>
            <w:r>
              <w:rPr>
                <w:rFonts w:hint="eastAsia" w:ascii="宋体" w:hAnsi="宋体"/>
                <w:spacing w:val="-6"/>
                <w:sz w:val="22"/>
                <w:highlight w:val="none"/>
              </w:rPr>
              <w:t>交货时间、数量及地点</w:t>
            </w:r>
          </w:p>
        </w:tc>
        <w:tc>
          <w:tcPr>
            <w:tcW w:w="7247" w:type="dxa"/>
            <w:tcBorders>
              <w:top w:val="single" w:color="auto" w:sz="4" w:space="0"/>
              <w:left w:val="single" w:color="auto" w:sz="4" w:space="0"/>
              <w:bottom w:val="single" w:color="auto" w:sz="4" w:space="0"/>
            </w:tcBorders>
            <w:noWrap w:val="0"/>
            <w:vAlign w:val="center"/>
          </w:tcPr>
          <w:p>
            <w:pPr>
              <w:autoSpaceDE w:val="0"/>
              <w:autoSpaceDN w:val="0"/>
              <w:adjustRightInd w:val="0"/>
              <w:snapToGrid w:val="0"/>
              <w:spacing w:line="400" w:lineRule="exact"/>
              <w:textAlignment w:val="bottom"/>
              <w:rPr>
                <w:rFonts w:ascii="宋体" w:hAnsi="宋体"/>
                <w:spacing w:val="-6"/>
                <w:sz w:val="22"/>
                <w:highlight w:val="none"/>
              </w:rPr>
            </w:pPr>
            <w:r>
              <w:rPr>
                <w:rFonts w:hint="eastAsia" w:ascii="宋体" w:hAnsi="宋体"/>
                <w:spacing w:val="-6"/>
                <w:sz w:val="22"/>
                <w:highlight w:val="none"/>
              </w:rPr>
              <w:t>1.交货时间：新生开学时在有关学校内</w:t>
            </w:r>
            <w:r>
              <w:rPr>
                <w:rFonts w:hint="eastAsia" w:ascii="宋体" w:hAnsi="宋体"/>
                <w:sz w:val="22"/>
                <w:szCs w:val="22"/>
                <w:highlight w:val="none"/>
                <w:lang w:eastAsia="zh-CN"/>
              </w:rPr>
              <w:t>网络线上订购（个别学校线下</w:t>
            </w:r>
            <w:r>
              <w:rPr>
                <w:rFonts w:hint="eastAsia" w:ascii="宋体" w:hAnsi="宋体"/>
                <w:sz w:val="22"/>
                <w:szCs w:val="22"/>
                <w:highlight w:val="none"/>
                <w:lang w:val="en-US" w:eastAsia="zh-CN"/>
              </w:rPr>
              <w:t>销售</w:t>
            </w:r>
            <w:r>
              <w:rPr>
                <w:rFonts w:hint="eastAsia" w:ascii="宋体" w:hAnsi="宋体"/>
                <w:sz w:val="22"/>
                <w:szCs w:val="22"/>
                <w:highlight w:val="none"/>
                <w:lang w:eastAsia="zh-CN"/>
              </w:rPr>
              <w:t>）</w:t>
            </w:r>
            <w:r>
              <w:rPr>
                <w:rFonts w:hint="eastAsia" w:ascii="宋体" w:hAnsi="宋体"/>
                <w:sz w:val="22"/>
                <w:szCs w:val="22"/>
                <w:highlight w:val="none"/>
              </w:rPr>
              <w:t>、</w:t>
            </w:r>
            <w:r>
              <w:rPr>
                <w:rFonts w:hint="eastAsia" w:ascii="宋体" w:hAnsi="宋体"/>
                <w:b/>
                <w:bCs/>
                <w:sz w:val="22"/>
                <w:szCs w:val="22"/>
                <w:highlight w:val="none"/>
              </w:rPr>
              <w:t>学生自愿购买</w:t>
            </w:r>
            <w:r>
              <w:rPr>
                <w:rFonts w:hint="eastAsia" w:ascii="宋体" w:hAnsi="宋体"/>
                <w:sz w:val="22"/>
                <w:szCs w:val="22"/>
                <w:highlight w:val="none"/>
              </w:rPr>
              <w:t>、</w:t>
            </w:r>
            <w:r>
              <w:rPr>
                <w:rFonts w:hint="eastAsia" w:ascii="宋体" w:hAnsi="宋体" w:cs="宋体"/>
                <w:snapToGrid w:val="0"/>
                <w:sz w:val="22"/>
                <w:szCs w:val="22"/>
                <w:highlight w:val="none"/>
              </w:rPr>
              <w:t>收款方式支持二维码收款（微信或支付宝）</w:t>
            </w:r>
            <w:r>
              <w:rPr>
                <w:rFonts w:hint="eastAsia" w:ascii="宋体" w:hAnsi="宋体"/>
                <w:spacing w:val="-6"/>
                <w:sz w:val="22"/>
                <w:highlight w:val="none"/>
              </w:rPr>
              <w:t>。</w:t>
            </w:r>
          </w:p>
          <w:p>
            <w:pPr>
              <w:autoSpaceDE w:val="0"/>
              <w:autoSpaceDN w:val="0"/>
              <w:adjustRightInd w:val="0"/>
              <w:snapToGrid w:val="0"/>
              <w:spacing w:line="400" w:lineRule="exact"/>
              <w:textAlignment w:val="bottom"/>
              <w:rPr>
                <w:rFonts w:ascii="宋体" w:hAnsi="宋体"/>
                <w:spacing w:val="-6"/>
                <w:sz w:val="22"/>
                <w:highlight w:val="none"/>
              </w:rPr>
            </w:pPr>
            <w:r>
              <w:rPr>
                <w:rFonts w:hint="eastAsia" w:ascii="宋体" w:hAnsi="宋体"/>
                <w:spacing w:val="-6"/>
                <w:sz w:val="22"/>
                <w:highlight w:val="none"/>
              </w:rPr>
              <w:t>2.交货数量：按照学生预订量的120%数量供货，多余货物及时撤回。实际购买量超过时，应及时补充货源满足学生需求。</w:t>
            </w:r>
          </w:p>
          <w:p>
            <w:pPr>
              <w:autoSpaceDE w:val="0"/>
              <w:autoSpaceDN w:val="0"/>
              <w:adjustRightInd w:val="0"/>
              <w:snapToGrid w:val="0"/>
              <w:spacing w:line="400" w:lineRule="exact"/>
              <w:textAlignment w:val="bottom"/>
              <w:rPr>
                <w:rFonts w:ascii="宋体"/>
                <w:spacing w:val="-6"/>
                <w:sz w:val="22"/>
                <w:highlight w:val="none"/>
              </w:rPr>
            </w:pPr>
            <w:r>
              <w:rPr>
                <w:rFonts w:hint="eastAsia" w:ascii="宋体" w:hAnsi="宋体"/>
                <w:spacing w:val="-6"/>
                <w:sz w:val="22"/>
                <w:highlight w:val="none"/>
              </w:rPr>
              <w:t>3.交货地点：</w:t>
            </w:r>
            <w:r>
              <w:rPr>
                <w:rFonts w:hint="eastAsia" w:ascii="宋体" w:hAnsi="宋体"/>
                <w:spacing w:val="-6"/>
                <w:sz w:val="22"/>
                <w:highlight w:val="none"/>
                <w:lang w:eastAsia="zh-CN"/>
              </w:rPr>
              <w:t>各学校要求</w:t>
            </w:r>
            <w:r>
              <w:rPr>
                <w:rFonts w:hint="eastAsia" w:ascii="宋体" w:hAnsi="宋体"/>
                <w:spacing w:val="-6"/>
                <w:sz w:val="22"/>
                <w:highlight w:val="none"/>
              </w:rPr>
              <w:t>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6" w:hRule="atLeast"/>
          <w:jc w:val="center"/>
        </w:trPr>
        <w:tc>
          <w:tcPr>
            <w:tcW w:w="1890" w:type="dxa"/>
            <w:tcBorders>
              <w:top w:val="single" w:color="auto" w:sz="4" w:space="0"/>
              <w:bottom w:val="single" w:color="auto" w:sz="4" w:space="0"/>
              <w:right w:val="single" w:color="auto" w:sz="4" w:space="0"/>
            </w:tcBorders>
            <w:noWrap w:val="0"/>
            <w:vAlign w:val="center"/>
          </w:tcPr>
          <w:p>
            <w:pPr>
              <w:snapToGrid w:val="0"/>
              <w:spacing w:line="400" w:lineRule="exact"/>
              <w:jc w:val="center"/>
              <w:rPr>
                <w:rFonts w:ascii="宋体"/>
                <w:spacing w:val="-6"/>
                <w:sz w:val="22"/>
                <w:highlight w:val="none"/>
              </w:rPr>
            </w:pPr>
            <w:r>
              <w:rPr>
                <w:rFonts w:hint="eastAsia" w:ascii="宋体" w:hAnsi="宋体"/>
                <w:spacing w:val="-6"/>
                <w:sz w:val="22"/>
                <w:highlight w:val="none"/>
              </w:rPr>
              <w:t>付款条件</w:t>
            </w:r>
          </w:p>
        </w:tc>
        <w:tc>
          <w:tcPr>
            <w:tcW w:w="7247" w:type="dxa"/>
            <w:tcBorders>
              <w:top w:val="single" w:color="auto" w:sz="4" w:space="0"/>
              <w:left w:val="single" w:color="auto" w:sz="4" w:space="0"/>
              <w:bottom w:val="single" w:color="auto" w:sz="4" w:space="0"/>
            </w:tcBorders>
            <w:noWrap w:val="0"/>
            <w:vAlign w:val="center"/>
          </w:tcPr>
          <w:p>
            <w:pPr>
              <w:snapToGrid w:val="0"/>
              <w:spacing w:line="400" w:lineRule="exact"/>
              <w:rPr>
                <w:rFonts w:ascii="楷体_GB2312" w:hAnsi="新宋体" w:eastAsia="楷体_GB2312"/>
                <w:sz w:val="22"/>
                <w:highlight w:val="none"/>
              </w:rPr>
            </w:pPr>
            <w:r>
              <w:rPr>
                <w:rFonts w:hint="eastAsia" w:ascii="宋体" w:hAnsi="宋体"/>
                <w:spacing w:val="-6"/>
                <w:sz w:val="22"/>
                <w:highlight w:val="none"/>
              </w:rPr>
              <w:t>付款方式：</w:t>
            </w:r>
            <w:r>
              <w:rPr>
                <w:rFonts w:hint="eastAsia" w:ascii="宋体" w:hAnsi="宋体"/>
                <w:sz w:val="22"/>
                <w:highlight w:val="none"/>
              </w:rPr>
              <w:t>货物由学生（实际购买人）自愿购买、自主付款，中标方直接在校方指定的场地出售床上用品，货款由中标方自行收取现金或微信或支付宝二维码收款。</w:t>
            </w:r>
            <w:r>
              <w:rPr>
                <w:rFonts w:ascii="宋体" w:hAnsi="宋体"/>
                <w:sz w:val="22"/>
                <w:highlight w:val="none"/>
              </w:rPr>
              <w:t xml:space="preserve"> </w:t>
            </w:r>
            <w:r>
              <w:rPr>
                <w:rFonts w:ascii="宋体" w:hAnsi="宋体" w:eastAsia="楷体_GB2312"/>
                <w:sz w:val="22"/>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1890" w:type="dxa"/>
            <w:tcBorders>
              <w:top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spacing w:val="-6"/>
                <w:sz w:val="22"/>
                <w:highlight w:val="none"/>
                <w:lang w:eastAsia="zh-CN"/>
              </w:rPr>
            </w:pPr>
            <w:r>
              <w:rPr>
                <w:rFonts w:hint="eastAsia" w:ascii="宋体" w:hAnsi="宋体"/>
                <w:spacing w:val="-6"/>
                <w:sz w:val="22"/>
                <w:highlight w:val="none"/>
                <w:lang w:eastAsia="zh-CN"/>
              </w:rPr>
              <w:t>服务期</w:t>
            </w:r>
          </w:p>
        </w:tc>
        <w:tc>
          <w:tcPr>
            <w:tcW w:w="7247" w:type="dxa"/>
            <w:tcBorders>
              <w:top w:val="single" w:color="auto" w:sz="4" w:space="0"/>
              <w:left w:val="single" w:color="auto" w:sz="4" w:space="0"/>
              <w:bottom w:val="single" w:color="auto" w:sz="4" w:space="0"/>
            </w:tcBorders>
            <w:noWrap w:val="0"/>
            <w:vAlign w:val="center"/>
          </w:tcPr>
          <w:p>
            <w:pPr>
              <w:snapToGrid w:val="0"/>
              <w:spacing w:line="400" w:lineRule="exact"/>
              <w:rPr>
                <w:rFonts w:hint="eastAsia" w:ascii="宋体" w:hAnsi="宋体"/>
                <w:spacing w:val="-6"/>
                <w:sz w:val="22"/>
                <w:highlight w:val="none"/>
              </w:rPr>
            </w:pPr>
            <w:r>
              <w:rPr>
                <w:rFonts w:hint="eastAsia" w:ascii="宋体" w:hAnsi="宋体"/>
                <w:spacing w:val="-6"/>
                <w:sz w:val="22"/>
                <w:highlight w:val="none"/>
              </w:rPr>
              <w:t>202</w:t>
            </w:r>
            <w:r>
              <w:rPr>
                <w:rFonts w:hint="eastAsia" w:ascii="宋体" w:hAnsi="宋体"/>
                <w:spacing w:val="-6"/>
                <w:sz w:val="22"/>
                <w:highlight w:val="none"/>
                <w:lang w:val="en-US" w:eastAsia="zh-CN"/>
              </w:rPr>
              <w:t>2</w:t>
            </w:r>
            <w:r>
              <w:rPr>
                <w:rFonts w:hint="eastAsia" w:ascii="宋体" w:hAnsi="宋体"/>
                <w:spacing w:val="-6"/>
                <w:sz w:val="22"/>
                <w:highlight w:val="none"/>
              </w:rPr>
              <w:t>年（单年）</w:t>
            </w:r>
          </w:p>
        </w:tc>
      </w:tr>
    </w:tbl>
    <w:p>
      <w:pPr>
        <w:pStyle w:val="3"/>
        <w:ind w:left="0" w:right="-252"/>
        <w:rPr>
          <w:rFonts w:hint="eastAsia"/>
          <w:highlight w:val="none"/>
        </w:rPr>
      </w:pPr>
    </w:p>
    <w:p>
      <w:pPr>
        <w:pStyle w:val="3"/>
        <w:ind w:left="0" w:right="-252"/>
        <w:rPr>
          <w:rFonts w:hint="eastAsia"/>
          <w:highlight w:val="none"/>
        </w:rPr>
      </w:pPr>
    </w:p>
    <w:p>
      <w:pPr>
        <w:pStyle w:val="3"/>
        <w:ind w:left="0" w:right="-252"/>
        <w:rPr>
          <w:rFonts w:hint="eastAsia"/>
          <w:highlight w:val="none"/>
        </w:rPr>
      </w:pPr>
    </w:p>
    <w:p>
      <w:pPr>
        <w:pStyle w:val="3"/>
        <w:ind w:left="0" w:right="-252"/>
        <w:rPr>
          <w:rFonts w:hint="eastAsia"/>
          <w:highlight w:val="none"/>
        </w:rPr>
      </w:pPr>
    </w:p>
    <w:p>
      <w:pPr>
        <w:numPr>
          <w:ilvl w:val="0"/>
          <w:numId w:val="2"/>
        </w:numPr>
        <w:snapToGrid w:val="0"/>
        <w:spacing w:line="360" w:lineRule="exact"/>
        <w:rPr>
          <w:rFonts w:hint="eastAsia" w:ascii="宋体" w:hAnsi="宋体" w:cs="宋体"/>
          <w:b/>
          <w:bCs/>
          <w:spacing w:val="-6"/>
          <w:sz w:val="22"/>
          <w:szCs w:val="22"/>
          <w:highlight w:val="none"/>
        </w:rPr>
      </w:pPr>
      <w:r>
        <w:rPr>
          <w:rFonts w:hint="eastAsia" w:ascii="宋体" w:hAnsi="宋体" w:cs="宋体"/>
          <w:b/>
          <w:bCs/>
          <w:spacing w:val="-6"/>
          <w:sz w:val="22"/>
          <w:szCs w:val="22"/>
          <w:highlight w:val="none"/>
        </w:rPr>
        <w:t>技术要求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noWrap w:val="0"/>
            <w:vAlign w:val="top"/>
          </w:tcPr>
          <w:p>
            <w:pPr>
              <w:snapToGrid w:val="0"/>
              <w:spacing w:before="120" w:beforeLines="50" w:after="120" w:afterLines="50"/>
              <w:ind w:left="418"/>
              <w:jc w:val="left"/>
              <w:rPr>
                <w:rFonts w:hint="eastAsia" w:ascii="宋体" w:hAnsi="宋体" w:eastAsia="宋体" w:cs="宋体"/>
                <w:b/>
                <w:bCs/>
                <w:sz w:val="22"/>
                <w:szCs w:val="22"/>
                <w:highlight w:val="none"/>
              </w:rPr>
            </w:pPr>
            <w:r>
              <w:rPr>
                <w:rFonts w:hint="eastAsia" w:ascii="宋体" w:hAnsi="宋体" w:eastAsia="宋体" w:cs="宋体"/>
                <w:b/>
                <w:spacing w:val="-6"/>
                <w:sz w:val="22"/>
                <w:szCs w:val="22"/>
                <w:highlight w:val="none"/>
              </w:rPr>
              <w:t>（一）采购内容</w:t>
            </w:r>
          </w:p>
          <w:p>
            <w:pPr>
              <w:snapToGrid w:val="0"/>
              <w:spacing w:before="120" w:beforeLines="50" w:after="120" w:afterLines="50"/>
              <w:jc w:val="left"/>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1.采购数量及分布情况</w:t>
            </w:r>
          </w:p>
          <w:tbl>
            <w:tblPr>
              <w:tblStyle w:val="5"/>
              <w:tblW w:w="8757"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615"/>
              <w:gridCol w:w="6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5" w:type="dxa"/>
                  <w:noWrap w:val="0"/>
                  <w:vAlign w:val="top"/>
                </w:tcPr>
                <w:p>
                  <w:pPr>
                    <w:widowControl/>
                    <w:spacing w:line="288" w:lineRule="auto"/>
                    <w:jc w:val="center"/>
                    <w:rPr>
                      <w:rFonts w:hint="eastAsia" w:ascii="宋体" w:hAnsi="宋体" w:eastAsia="宋体" w:cs="宋体"/>
                      <w:spacing w:val="-6"/>
                      <w:kern w:val="0"/>
                      <w:sz w:val="22"/>
                      <w:szCs w:val="22"/>
                      <w:highlight w:val="none"/>
                    </w:rPr>
                  </w:pPr>
                  <w:r>
                    <w:rPr>
                      <w:rFonts w:hint="eastAsia" w:ascii="宋体" w:hAnsi="宋体" w:eastAsia="宋体" w:cs="宋体"/>
                      <w:spacing w:val="-6"/>
                      <w:kern w:val="0"/>
                      <w:sz w:val="22"/>
                      <w:szCs w:val="22"/>
                      <w:highlight w:val="none"/>
                    </w:rPr>
                    <w:t>序号</w:t>
                  </w:r>
                </w:p>
              </w:tc>
              <w:tc>
                <w:tcPr>
                  <w:tcW w:w="1615" w:type="dxa"/>
                  <w:noWrap w:val="0"/>
                  <w:vAlign w:val="top"/>
                </w:tcPr>
                <w:p>
                  <w:pPr>
                    <w:widowControl/>
                    <w:spacing w:line="288" w:lineRule="auto"/>
                    <w:jc w:val="center"/>
                    <w:rPr>
                      <w:rFonts w:hint="eastAsia" w:ascii="宋体" w:hAnsi="宋体" w:eastAsia="宋体" w:cs="宋体"/>
                      <w:spacing w:val="-6"/>
                      <w:kern w:val="0"/>
                      <w:sz w:val="22"/>
                      <w:szCs w:val="22"/>
                      <w:highlight w:val="none"/>
                    </w:rPr>
                  </w:pPr>
                  <w:r>
                    <w:rPr>
                      <w:rFonts w:hint="eastAsia" w:ascii="宋体" w:hAnsi="宋体" w:eastAsia="宋体" w:cs="宋体"/>
                      <w:spacing w:val="-6"/>
                      <w:kern w:val="0"/>
                      <w:sz w:val="22"/>
                      <w:szCs w:val="22"/>
                      <w:highlight w:val="none"/>
                    </w:rPr>
                    <w:t>名称</w:t>
                  </w:r>
                </w:p>
              </w:tc>
              <w:tc>
                <w:tcPr>
                  <w:tcW w:w="6307" w:type="dxa"/>
                  <w:noWrap w:val="0"/>
                  <w:vAlign w:val="top"/>
                </w:tcPr>
                <w:p>
                  <w:pPr>
                    <w:widowControl/>
                    <w:spacing w:line="288" w:lineRule="auto"/>
                    <w:jc w:val="center"/>
                    <w:rPr>
                      <w:rFonts w:hint="eastAsia" w:ascii="宋体" w:hAnsi="宋体" w:eastAsia="宋体" w:cs="宋体"/>
                      <w:spacing w:val="-6"/>
                      <w:kern w:val="0"/>
                      <w:sz w:val="22"/>
                      <w:szCs w:val="22"/>
                      <w:highlight w:val="none"/>
                    </w:rPr>
                  </w:pPr>
                  <w:r>
                    <w:rPr>
                      <w:rFonts w:hint="eastAsia" w:ascii="宋体" w:hAnsi="宋体" w:eastAsia="宋体" w:cs="宋体"/>
                      <w:spacing w:val="-6"/>
                      <w:kern w:val="0"/>
                      <w:sz w:val="22"/>
                      <w:szCs w:val="22"/>
                      <w:highlight w:val="none"/>
                    </w:rPr>
                    <w:t xml:space="preserve">数量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5" w:type="dxa"/>
                  <w:noWrap w:val="0"/>
                  <w:vAlign w:val="center"/>
                </w:tcPr>
                <w:p>
                  <w:pPr>
                    <w:widowControl/>
                    <w:spacing w:line="288" w:lineRule="auto"/>
                    <w:jc w:val="center"/>
                    <w:rPr>
                      <w:rFonts w:hint="eastAsia" w:ascii="宋体" w:hAnsi="宋体" w:eastAsia="宋体" w:cs="宋体"/>
                      <w:spacing w:val="-6"/>
                      <w:kern w:val="0"/>
                      <w:sz w:val="22"/>
                      <w:szCs w:val="22"/>
                      <w:highlight w:val="none"/>
                    </w:rPr>
                  </w:pPr>
                  <w:r>
                    <w:rPr>
                      <w:rFonts w:hint="eastAsia" w:ascii="宋体" w:hAnsi="宋体" w:eastAsia="宋体" w:cs="宋体"/>
                      <w:spacing w:val="-6"/>
                      <w:kern w:val="0"/>
                      <w:sz w:val="22"/>
                      <w:szCs w:val="22"/>
                      <w:highlight w:val="none"/>
                    </w:rPr>
                    <w:t>一</w:t>
                  </w:r>
                </w:p>
              </w:tc>
              <w:tc>
                <w:tcPr>
                  <w:tcW w:w="1615" w:type="dxa"/>
                  <w:noWrap w:val="0"/>
                  <w:vAlign w:val="center"/>
                </w:tcPr>
                <w:p>
                  <w:pPr>
                    <w:widowControl/>
                    <w:spacing w:line="288" w:lineRule="auto"/>
                    <w:jc w:val="center"/>
                    <w:rPr>
                      <w:rFonts w:hint="eastAsia" w:ascii="宋体" w:hAnsi="宋体" w:eastAsia="宋体" w:cs="宋体"/>
                      <w:spacing w:val="-6"/>
                      <w:kern w:val="0"/>
                      <w:sz w:val="22"/>
                      <w:szCs w:val="22"/>
                      <w:highlight w:val="none"/>
                    </w:rPr>
                  </w:pPr>
                  <w:r>
                    <w:rPr>
                      <w:rFonts w:hint="eastAsia" w:ascii="宋体" w:hAnsi="宋体" w:eastAsia="宋体" w:cs="宋体"/>
                      <w:spacing w:val="-6"/>
                      <w:kern w:val="0"/>
                      <w:sz w:val="22"/>
                      <w:szCs w:val="22"/>
                      <w:highlight w:val="none"/>
                    </w:rPr>
                    <w:t>新生床上用品</w:t>
                  </w:r>
                </w:p>
              </w:tc>
              <w:tc>
                <w:tcPr>
                  <w:tcW w:w="6307" w:type="dxa"/>
                  <w:noWrap w:val="0"/>
                  <w:vAlign w:val="center"/>
                </w:tcPr>
                <w:p>
                  <w:pPr>
                    <w:widowControl/>
                    <w:spacing w:line="288" w:lineRule="auto"/>
                    <w:jc w:val="left"/>
                    <w:rPr>
                      <w:rFonts w:hint="eastAsia" w:ascii="宋体" w:hAnsi="宋体" w:eastAsia="宋体" w:cs="宋体"/>
                      <w:spacing w:val="-6"/>
                      <w:kern w:val="0"/>
                      <w:sz w:val="22"/>
                      <w:szCs w:val="22"/>
                      <w:highlight w:val="none"/>
                    </w:rPr>
                  </w:pPr>
                  <w:r>
                    <w:rPr>
                      <w:rFonts w:hint="eastAsia" w:ascii="宋体" w:hAnsi="宋体" w:cs="宋体"/>
                      <w:spacing w:val="-6"/>
                      <w:kern w:val="0"/>
                      <w:sz w:val="22"/>
                      <w:szCs w:val="22"/>
                      <w:highlight w:val="none"/>
                      <w:lang w:eastAsia="zh-CN"/>
                    </w:rPr>
                    <w:t>温州大学</w:t>
                  </w:r>
                  <w:r>
                    <w:rPr>
                      <w:rFonts w:hint="eastAsia" w:ascii="宋体" w:hAnsi="宋体" w:cs="宋体"/>
                      <w:spacing w:val="-6"/>
                      <w:kern w:val="0"/>
                      <w:sz w:val="22"/>
                      <w:szCs w:val="22"/>
                      <w:highlight w:val="none"/>
                    </w:rPr>
                    <w:t>约7000套</w:t>
                  </w:r>
                  <w:r>
                    <w:rPr>
                      <w:rFonts w:hint="eastAsia" w:ascii="宋体" w:hAnsi="宋体" w:cs="宋体"/>
                      <w:spacing w:val="-6"/>
                      <w:kern w:val="0"/>
                      <w:sz w:val="22"/>
                      <w:szCs w:val="22"/>
                      <w:highlight w:val="none"/>
                      <w:lang w:eastAsia="zh-CN"/>
                    </w:rPr>
                    <w:t>、温州职业技术学院约</w:t>
                  </w:r>
                  <w:r>
                    <w:rPr>
                      <w:rFonts w:hint="eastAsia" w:ascii="宋体" w:hAnsi="宋体" w:cs="宋体"/>
                      <w:spacing w:val="-6"/>
                      <w:kern w:val="0"/>
                      <w:sz w:val="22"/>
                      <w:szCs w:val="22"/>
                      <w:highlight w:val="none"/>
                      <w:lang w:val="en-US" w:eastAsia="zh-CN"/>
                    </w:rPr>
                    <w:t xml:space="preserve">4500套、浙江东方职业技术学院约2000套、温州肯恩大学约1000套 </w:t>
                  </w:r>
                  <w:r>
                    <w:rPr>
                      <w:rFonts w:hint="eastAsia" w:ascii="宋体" w:hAnsi="宋体" w:eastAsia="宋体" w:cs="宋体"/>
                      <w:spacing w:val="-6"/>
                      <w:kern w:val="0"/>
                      <w:sz w:val="22"/>
                      <w:szCs w:val="22"/>
                      <w:highlight w:val="none"/>
                    </w:rPr>
                    <w:t>（具体成交数量按实际销售结算）；</w:t>
                  </w:r>
                </w:p>
              </w:tc>
            </w:tr>
          </w:tbl>
          <w:p>
            <w:pPr>
              <w:spacing w:before="120" w:beforeLines="50" w:after="120" w:afterLines="50"/>
              <w:rPr>
                <w:rFonts w:hint="eastAsia" w:ascii="宋体" w:hAnsi="宋体" w:eastAsia="宋体" w:cs="宋体"/>
                <w:b/>
                <w:sz w:val="22"/>
                <w:szCs w:val="22"/>
                <w:highlight w:val="none"/>
              </w:rPr>
            </w:pPr>
            <w:r>
              <w:rPr>
                <w:rFonts w:hint="eastAsia" w:ascii="宋体" w:hAnsi="宋体" w:eastAsia="宋体" w:cs="宋体"/>
                <w:b/>
                <w:spacing w:val="-6"/>
                <w:kern w:val="0"/>
                <w:sz w:val="22"/>
                <w:szCs w:val="22"/>
                <w:highlight w:val="none"/>
              </w:rPr>
              <w:t>2.</w:t>
            </w:r>
            <w:r>
              <w:rPr>
                <w:rFonts w:hint="eastAsia" w:ascii="宋体" w:hAnsi="宋体" w:eastAsia="宋体" w:cs="宋体"/>
                <w:sz w:val="22"/>
                <w:szCs w:val="22"/>
                <w:highlight w:val="none"/>
              </w:rPr>
              <w:t xml:space="preserve"> </w:t>
            </w:r>
            <w:r>
              <w:rPr>
                <w:rFonts w:hint="eastAsia" w:ascii="宋体" w:hAnsi="宋体" w:eastAsia="宋体" w:cs="宋体"/>
                <w:b/>
                <w:sz w:val="22"/>
                <w:szCs w:val="22"/>
                <w:highlight w:val="none"/>
              </w:rPr>
              <w:t>每套生活用品</w:t>
            </w:r>
            <w:r>
              <w:rPr>
                <w:rFonts w:hint="eastAsia" w:ascii="宋体" w:hAnsi="宋体" w:eastAsia="宋体" w:cs="宋体"/>
                <w:b/>
                <w:spacing w:val="-6"/>
                <w:kern w:val="0"/>
                <w:sz w:val="22"/>
                <w:szCs w:val="22"/>
                <w:highlight w:val="none"/>
              </w:rPr>
              <w:t>统一配置</w:t>
            </w:r>
            <w:r>
              <w:rPr>
                <w:rFonts w:hint="eastAsia" w:ascii="宋体" w:hAnsi="宋体" w:eastAsia="宋体" w:cs="宋体"/>
                <w:b/>
                <w:sz w:val="22"/>
                <w:szCs w:val="22"/>
                <w:highlight w:val="none"/>
              </w:rPr>
              <w:t>及质量要求</w:t>
            </w:r>
          </w:p>
          <w:tbl>
            <w:tblPr>
              <w:tblStyle w:val="5"/>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1564"/>
              <w:gridCol w:w="1093"/>
              <w:gridCol w:w="1866"/>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41"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序号</w:t>
                  </w:r>
                </w:p>
              </w:tc>
              <w:tc>
                <w:tcPr>
                  <w:tcW w:w="1596"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名  称</w:t>
                  </w:r>
                </w:p>
              </w:tc>
              <w:tc>
                <w:tcPr>
                  <w:tcW w:w="1116"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数  量</w:t>
                  </w:r>
                </w:p>
              </w:tc>
              <w:tc>
                <w:tcPr>
                  <w:tcW w:w="1711"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规格（mm）</w:t>
                  </w:r>
                </w:p>
              </w:tc>
              <w:tc>
                <w:tcPr>
                  <w:tcW w:w="3607"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41"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596"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被  套</w:t>
                  </w:r>
                </w:p>
              </w:tc>
              <w:tc>
                <w:tcPr>
                  <w:tcW w:w="1116"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1条</w:t>
                  </w:r>
                </w:p>
              </w:tc>
              <w:tc>
                <w:tcPr>
                  <w:tcW w:w="1711"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2100×1550</w:t>
                  </w:r>
                </w:p>
              </w:tc>
              <w:tc>
                <w:tcPr>
                  <w:tcW w:w="3607" w:type="dxa"/>
                  <w:vMerge w:val="restart"/>
                  <w:noWrap w:val="0"/>
                  <w:vAlign w:val="center"/>
                </w:tcPr>
                <w:p>
                  <w:pPr>
                    <w:spacing w:line="3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1.面料采用100%一级棉坯布，3075高支棉；针迹回顺，边口回针；被套侧面开口不少于80cm、钮扣间距不大于20 cm。</w:t>
                  </w:r>
                </w:p>
                <w:p>
                  <w:pPr>
                    <w:spacing w:line="3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2.符合以下技术参数及要求。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41"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1596"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床  单</w:t>
                  </w:r>
                </w:p>
              </w:tc>
              <w:tc>
                <w:tcPr>
                  <w:tcW w:w="1116"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1条</w:t>
                  </w:r>
                </w:p>
              </w:tc>
              <w:tc>
                <w:tcPr>
                  <w:tcW w:w="1711"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2150×1100</w:t>
                  </w:r>
                </w:p>
              </w:tc>
              <w:tc>
                <w:tcPr>
                  <w:tcW w:w="3607" w:type="dxa"/>
                  <w:vMerge w:val="continue"/>
                  <w:noWrap w:val="0"/>
                  <w:vAlign w:val="center"/>
                </w:tcPr>
                <w:p>
                  <w:pPr>
                    <w:spacing w:line="300" w:lineRule="exact"/>
                    <w:jc w:val="center"/>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41"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1596"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枕  套1</w:t>
                  </w:r>
                </w:p>
              </w:tc>
              <w:tc>
                <w:tcPr>
                  <w:tcW w:w="1116"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1条</w:t>
                  </w:r>
                </w:p>
              </w:tc>
              <w:tc>
                <w:tcPr>
                  <w:tcW w:w="1711"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700×400</w:t>
                  </w:r>
                </w:p>
              </w:tc>
              <w:tc>
                <w:tcPr>
                  <w:tcW w:w="3607" w:type="dxa"/>
                  <w:vMerge w:val="continue"/>
                  <w:noWrap w:val="0"/>
                  <w:vAlign w:val="center"/>
                </w:tcPr>
                <w:p>
                  <w:pPr>
                    <w:spacing w:line="300" w:lineRule="exact"/>
                    <w:jc w:val="center"/>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41"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4</w:t>
                  </w:r>
                </w:p>
              </w:tc>
              <w:tc>
                <w:tcPr>
                  <w:tcW w:w="1596"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枕  套2</w:t>
                  </w:r>
                </w:p>
              </w:tc>
              <w:tc>
                <w:tcPr>
                  <w:tcW w:w="1116"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1条</w:t>
                  </w:r>
                </w:p>
              </w:tc>
              <w:tc>
                <w:tcPr>
                  <w:tcW w:w="1711"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700×400</w:t>
                  </w:r>
                </w:p>
              </w:tc>
              <w:tc>
                <w:tcPr>
                  <w:tcW w:w="3607" w:type="dxa"/>
                  <w:vMerge w:val="continue"/>
                  <w:noWrap w:val="0"/>
                  <w:vAlign w:val="center"/>
                </w:tcPr>
                <w:p>
                  <w:pPr>
                    <w:spacing w:line="300" w:lineRule="exact"/>
                    <w:jc w:val="center"/>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41"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5</w:t>
                  </w:r>
                </w:p>
              </w:tc>
              <w:tc>
                <w:tcPr>
                  <w:tcW w:w="1596"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枕  芯</w:t>
                  </w:r>
                </w:p>
              </w:tc>
              <w:tc>
                <w:tcPr>
                  <w:tcW w:w="1116"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1条</w:t>
                  </w:r>
                </w:p>
              </w:tc>
              <w:tc>
                <w:tcPr>
                  <w:tcW w:w="1711"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680×380</w:t>
                  </w:r>
                </w:p>
              </w:tc>
              <w:tc>
                <w:tcPr>
                  <w:tcW w:w="3607" w:type="dxa"/>
                  <w:noWrap w:val="0"/>
                  <w:vAlign w:val="center"/>
                </w:tcPr>
                <w:p>
                  <w:pPr>
                    <w:spacing w:line="3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优质中空云丝，重量</w:t>
                  </w:r>
                  <w:r>
                    <w:rPr>
                      <w:rFonts w:hint="eastAsia" w:ascii="宋体" w:hAnsi="宋体" w:eastAsia="宋体" w:cs="宋体"/>
                      <w:bCs/>
                      <w:sz w:val="22"/>
                      <w:szCs w:val="22"/>
                      <w:highlight w:val="none"/>
                    </w:rPr>
                    <w:t>≥</w:t>
                  </w:r>
                  <w:r>
                    <w:rPr>
                      <w:rFonts w:hint="eastAsia" w:ascii="宋体" w:hAnsi="宋体" w:eastAsia="宋体" w:cs="宋体"/>
                      <w:sz w:val="22"/>
                      <w:szCs w:val="22"/>
                      <w:highlight w:val="none"/>
                    </w:rPr>
                    <w:t>0.6 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41"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6</w:t>
                  </w:r>
                </w:p>
              </w:tc>
              <w:tc>
                <w:tcPr>
                  <w:tcW w:w="1596"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盖胎（加套）</w:t>
                  </w:r>
                </w:p>
              </w:tc>
              <w:tc>
                <w:tcPr>
                  <w:tcW w:w="1116"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1条</w:t>
                  </w:r>
                </w:p>
              </w:tc>
              <w:tc>
                <w:tcPr>
                  <w:tcW w:w="1711"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2060×1500/3kg</w:t>
                  </w:r>
                </w:p>
              </w:tc>
              <w:tc>
                <w:tcPr>
                  <w:tcW w:w="3607" w:type="dxa"/>
                  <w:noWrap w:val="0"/>
                  <w:vAlign w:val="center"/>
                </w:tcPr>
                <w:p>
                  <w:pPr>
                    <w:spacing w:line="30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1.原棉三级以上、加纱布套；</w:t>
                  </w:r>
                </w:p>
                <w:p>
                  <w:pPr>
                    <w:spacing w:line="30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2.符合以下技术参数及要求。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41"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7</w:t>
                  </w:r>
                </w:p>
              </w:tc>
              <w:tc>
                <w:tcPr>
                  <w:tcW w:w="1596"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垫胎（加套）</w:t>
                  </w:r>
                </w:p>
              </w:tc>
              <w:tc>
                <w:tcPr>
                  <w:tcW w:w="1116"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1条</w:t>
                  </w:r>
                </w:p>
              </w:tc>
              <w:tc>
                <w:tcPr>
                  <w:tcW w:w="1711"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1950×800/2kg</w:t>
                  </w:r>
                </w:p>
              </w:tc>
              <w:tc>
                <w:tcPr>
                  <w:tcW w:w="3607" w:type="dxa"/>
                  <w:noWrap w:val="0"/>
                  <w:vAlign w:val="center"/>
                </w:tcPr>
                <w:p>
                  <w:pPr>
                    <w:spacing w:line="30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1.原棉四级以上、加春秋丁套；</w:t>
                  </w:r>
                </w:p>
                <w:p>
                  <w:pPr>
                    <w:spacing w:line="30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2.符合以下技术参数及要求。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41"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8</w:t>
                  </w:r>
                </w:p>
              </w:tc>
              <w:tc>
                <w:tcPr>
                  <w:tcW w:w="1596"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凉  被</w:t>
                  </w:r>
                </w:p>
              </w:tc>
              <w:tc>
                <w:tcPr>
                  <w:tcW w:w="1116"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1条</w:t>
                  </w:r>
                </w:p>
              </w:tc>
              <w:tc>
                <w:tcPr>
                  <w:tcW w:w="1711"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2060×1500</w:t>
                  </w:r>
                </w:p>
              </w:tc>
              <w:tc>
                <w:tcPr>
                  <w:tcW w:w="3607" w:type="dxa"/>
                  <w:noWrap w:val="0"/>
                  <w:vAlign w:val="center"/>
                </w:tcPr>
                <w:p>
                  <w:pPr>
                    <w:spacing w:line="30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1.25kg二级皮棉或仪征四孔云丝，全棉3075面料，绗缝。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41"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9</w:t>
                  </w:r>
                </w:p>
              </w:tc>
              <w:tc>
                <w:tcPr>
                  <w:tcW w:w="1596"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蚊  帐</w:t>
                  </w:r>
                </w:p>
              </w:tc>
              <w:tc>
                <w:tcPr>
                  <w:tcW w:w="1116"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1顶</w:t>
                  </w:r>
                </w:p>
              </w:tc>
              <w:tc>
                <w:tcPr>
                  <w:tcW w:w="1711"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2000×820×1600</w:t>
                  </w:r>
                </w:p>
              </w:tc>
              <w:tc>
                <w:tcPr>
                  <w:tcW w:w="3607" w:type="dxa"/>
                  <w:noWrap w:val="0"/>
                  <w:vAlign w:val="center"/>
                </w:tcPr>
                <w:p>
                  <w:pPr>
                    <w:spacing w:line="3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双丝织造网眼21眼、采用50D白色涤纶长丝，中间掩门，四角打摺，系带要来回三次退针。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1"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10</w:t>
                  </w:r>
                </w:p>
              </w:tc>
              <w:tc>
                <w:tcPr>
                  <w:tcW w:w="1596"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蚊帐钩</w:t>
                  </w:r>
                </w:p>
              </w:tc>
              <w:tc>
                <w:tcPr>
                  <w:tcW w:w="1116"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1对</w:t>
                  </w:r>
                </w:p>
              </w:tc>
              <w:tc>
                <w:tcPr>
                  <w:tcW w:w="1711"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φ8</w:t>
                  </w:r>
                </w:p>
              </w:tc>
              <w:tc>
                <w:tcPr>
                  <w:tcW w:w="3607" w:type="dxa"/>
                  <w:noWrap w:val="0"/>
                  <w:vAlign w:val="center"/>
                </w:tcPr>
                <w:p>
                  <w:pPr>
                    <w:spacing w:line="3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塑料或不锈钢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41"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11</w:t>
                  </w:r>
                </w:p>
              </w:tc>
              <w:tc>
                <w:tcPr>
                  <w:tcW w:w="1596"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牛津包</w:t>
                  </w:r>
                </w:p>
              </w:tc>
              <w:tc>
                <w:tcPr>
                  <w:tcW w:w="1116"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1个</w:t>
                  </w:r>
                </w:p>
              </w:tc>
              <w:tc>
                <w:tcPr>
                  <w:tcW w:w="1711"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580×500×450</w:t>
                  </w:r>
                </w:p>
              </w:tc>
              <w:tc>
                <w:tcPr>
                  <w:tcW w:w="3607" w:type="dxa"/>
                  <w:noWrap w:val="0"/>
                  <w:vAlign w:val="center"/>
                </w:tcPr>
                <w:p>
                  <w:pPr>
                    <w:spacing w:line="3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1.面料为加厚防水牛津革，拉链为一等品，可印刷供应商名称。</w:t>
                  </w:r>
                </w:p>
                <w:p>
                  <w:pPr>
                    <w:spacing w:line="3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2.能宽松容纳以上10个单品。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41"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12</w:t>
                  </w:r>
                </w:p>
              </w:tc>
              <w:tc>
                <w:tcPr>
                  <w:tcW w:w="1596"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口  杯</w:t>
                  </w:r>
                </w:p>
              </w:tc>
              <w:tc>
                <w:tcPr>
                  <w:tcW w:w="1116"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1只</w:t>
                  </w:r>
                </w:p>
              </w:tc>
              <w:tc>
                <w:tcPr>
                  <w:tcW w:w="1711"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φ100</w:t>
                  </w:r>
                </w:p>
              </w:tc>
              <w:tc>
                <w:tcPr>
                  <w:tcW w:w="3607" w:type="dxa"/>
                  <w:noWrap w:val="0"/>
                  <w:vAlign w:val="center"/>
                </w:tcPr>
                <w:p>
                  <w:pPr>
                    <w:spacing w:line="3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SUS304-2B不锈钢、有盖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41"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13</w:t>
                  </w:r>
                </w:p>
              </w:tc>
              <w:tc>
                <w:tcPr>
                  <w:tcW w:w="1596"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脸  盆</w:t>
                  </w:r>
                </w:p>
              </w:tc>
              <w:tc>
                <w:tcPr>
                  <w:tcW w:w="1116"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1个</w:t>
                  </w:r>
                </w:p>
              </w:tc>
              <w:tc>
                <w:tcPr>
                  <w:tcW w:w="1711"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φ360</w:t>
                  </w:r>
                </w:p>
              </w:tc>
              <w:tc>
                <w:tcPr>
                  <w:tcW w:w="3607" w:type="dxa"/>
                  <w:noWrap w:val="0"/>
                  <w:vAlign w:val="center"/>
                </w:tcPr>
                <w:p>
                  <w:pPr>
                    <w:spacing w:line="3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透明原生塑料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941"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14</w:t>
                  </w:r>
                </w:p>
              </w:tc>
              <w:tc>
                <w:tcPr>
                  <w:tcW w:w="1596"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竹  席</w:t>
                  </w:r>
                </w:p>
              </w:tc>
              <w:tc>
                <w:tcPr>
                  <w:tcW w:w="1116"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1条</w:t>
                  </w:r>
                </w:p>
              </w:tc>
              <w:tc>
                <w:tcPr>
                  <w:tcW w:w="1711" w:type="dxa"/>
                  <w:noWrap w:val="0"/>
                  <w:vAlign w:val="center"/>
                </w:tcPr>
                <w:p>
                  <w:pPr>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1950×800</w:t>
                  </w:r>
                </w:p>
              </w:tc>
              <w:tc>
                <w:tcPr>
                  <w:tcW w:w="3607" w:type="dxa"/>
                  <w:noWrap w:val="0"/>
                  <w:vAlign w:val="center"/>
                </w:tcPr>
                <w:p>
                  <w:pPr>
                    <w:spacing w:line="300" w:lineRule="exact"/>
                    <w:rPr>
                      <w:rFonts w:hint="eastAsia" w:ascii="宋体" w:hAnsi="宋体" w:eastAsia="宋体" w:cs="宋体"/>
                      <w:sz w:val="22"/>
                      <w:szCs w:val="22"/>
                      <w:highlight w:val="none"/>
                    </w:rPr>
                  </w:pPr>
                  <w:r>
                    <w:rPr>
                      <w:rFonts w:hint="eastAsia" w:ascii="宋体" w:hAnsi="宋体" w:eastAsia="宋体" w:cs="宋体"/>
                      <w:bCs/>
                      <w:kern w:val="0"/>
                      <w:sz w:val="22"/>
                      <w:szCs w:val="22"/>
                      <w:highlight w:val="none"/>
                    </w:rPr>
                    <w:t>宽边镜面席</w:t>
                  </w:r>
                  <w:r>
                    <w:rPr>
                      <w:rFonts w:hint="eastAsia" w:ascii="宋体" w:hAnsi="宋体" w:eastAsia="宋体" w:cs="宋体"/>
                      <w:sz w:val="22"/>
                      <w:szCs w:val="22"/>
                      <w:highlight w:val="none"/>
                    </w:rPr>
                    <w:t>。</w:t>
                  </w:r>
                </w:p>
              </w:tc>
            </w:tr>
          </w:tbl>
          <w:p>
            <w:pPr>
              <w:widowControl/>
              <w:spacing w:line="400" w:lineRule="exact"/>
              <w:ind w:left="442"/>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（二）主要产品技术参数及要求</w:t>
            </w:r>
          </w:p>
          <w:p>
            <w:pPr>
              <w:spacing w:before="120" w:beforeLines="50" w:after="120" w:afterLines="50"/>
              <w:ind w:left="442"/>
              <w:rPr>
                <w:rFonts w:hint="eastAsia" w:ascii="宋体" w:hAnsi="宋体" w:eastAsia="宋体" w:cs="宋体"/>
                <w:b/>
                <w:sz w:val="22"/>
                <w:szCs w:val="22"/>
                <w:highlight w:val="none"/>
              </w:rPr>
            </w:pPr>
            <w:r>
              <w:rPr>
                <w:rFonts w:hint="eastAsia" w:ascii="宋体" w:hAnsi="宋体" w:eastAsia="宋体" w:cs="宋体"/>
                <w:b/>
                <w:sz w:val="22"/>
                <w:szCs w:val="22"/>
                <w:highlight w:val="none"/>
              </w:rPr>
              <w:t>1.</w:t>
            </w:r>
            <w:r>
              <w:rPr>
                <w:rFonts w:hint="eastAsia" w:ascii="宋体" w:hAnsi="宋体" w:eastAsia="宋体" w:cs="宋体"/>
                <w:b/>
                <w:bCs/>
                <w:sz w:val="22"/>
                <w:szCs w:val="22"/>
                <w:highlight w:val="none"/>
              </w:rPr>
              <w:t>被套、床单、枕套必须符合以下标准要求：</w:t>
            </w:r>
          </w:p>
          <w:tbl>
            <w:tblPr>
              <w:tblStyle w:val="5"/>
              <w:tblW w:w="8987"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924"/>
              <w:gridCol w:w="4985"/>
              <w:gridCol w:w="2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7" w:type="dxa"/>
                  <w:noWrap w:val="0"/>
                  <w:vAlign w:val="center"/>
                </w:tcPr>
                <w:p>
                  <w:pPr>
                    <w:pStyle w:val="4"/>
                    <w:snapToGrid w:val="0"/>
                    <w:spacing w:line="320" w:lineRule="exact"/>
                    <w:ind w:left="396" w:hanging="396"/>
                    <w:outlineLvl w:val="0"/>
                    <w:rPr>
                      <w:rFonts w:hint="eastAsia" w:ascii="宋体" w:hAnsi="宋体" w:eastAsia="宋体" w:cs="宋体"/>
                      <w:spacing w:val="-6"/>
                      <w:sz w:val="22"/>
                      <w:szCs w:val="22"/>
                      <w:highlight w:val="none"/>
                    </w:rPr>
                  </w:pPr>
                  <w:r>
                    <w:rPr>
                      <w:rFonts w:hint="eastAsia" w:ascii="宋体" w:hAnsi="宋体" w:eastAsia="宋体" w:cs="宋体"/>
                      <w:spacing w:val="-6"/>
                      <w:sz w:val="22"/>
                      <w:szCs w:val="22"/>
                      <w:highlight w:val="none"/>
                    </w:rPr>
                    <w:t>序号</w:t>
                  </w:r>
                </w:p>
              </w:tc>
              <w:tc>
                <w:tcPr>
                  <w:tcW w:w="925" w:type="dxa"/>
                  <w:noWrap w:val="0"/>
                  <w:vAlign w:val="center"/>
                </w:tcPr>
                <w:p>
                  <w:pPr>
                    <w:pStyle w:val="4"/>
                    <w:snapToGrid w:val="0"/>
                    <w:spacing w:line="320" w:lineRule="exact"/>
                    <w:ind w:left="396" w:hanging="396"/>
                    <w:jc w:val="center"/>
                    <w:outlineLvl w:val="0"/>
                    <w:rPr>
                      <w:rFonts w:hint="eastAsia" w:ascii="宋体" w:hAnsi="宋体" w:eastAsia="宋体" w:cs="宋体"/>
                      <w:spacing w:val="-6"/>
                      <w:sz w:val="22"/>
                      <w:szCs w:val="22"/>
                      <w:highlight w:val="none"/>
                    </w:rPr>
                  </w:pPr>
                  <w:r>
                    <w:rPr>
                      <w:rFonts w:hint="eastAsia" w:ascii="宋体" w:hAnsi="宋体" w:eastAsia="宋体" w:cs="宋体"/>
                      <w:spacing w:val="-6"/>
                      <w:sz w:val="22"/>
                      <w:szCs w:val="22"/>
                      <w:highlight w:val="none"/>
                    </w:rPr>
                    <w:t>项目</w:t>
                  </w:r>
                </w:p>
              </w:tc>
              <w:tc>
                <w:tcPr>
                  <w:tcW w:w="5013" w:type="dxa"/>
                  <w:noWrap w:val="0"/>
                  <w:vAlign w:val="center"/>
                </w:tcPr>
                <w:p>
                  <w:pPr>
                    <w:pStyle w:val="4"/>
                    <w:snapToGrid w:val="0"/>
                    <w:spacing w:line="320" w:lineRule="exact"/>
                    <w:ind w:left="396" w:hanging="396"/>
                    <w:jc w:val="center"/>
                    <w:outlineLvl w:val="0"/>
                    <w:rPr>
                      <w:rFonts w:hint="eastAsia" w:ascii="宋体" w:hAnsi="宋体" w:eastAsia="宋体" w:cs="宋体"/>
                      <w:spacing w:val="-6"/>
                      <w:sz w:val="22"/>
                      <w:szCs w:val="22"/>
                      <w:highlight w:val="none"/>
                    </w:rPr>
                  </w:pPr>
                  <w:r>
                    <w:rPr>
                      <w:rFonts w:hint="eastAsia" w:ascii="宋体" w:hAnsi="宋体" w:eastAsia="宋体" w:cs="宋体"/>
                      <w:spacing w:val="-6"/>
                      <w:sz w:val="22"/>
                      <w:szCs w:val="22"/>
                      <w:highlight w:val="none"/>
                    </w:rPr>
                    <w:t>标准</w:t>
                  </w:r>
                </w:p>
              </w:tc>
              <w:tc>
                <w:tcPr>
                  <w:tcW w:w="2262" w:type="dxa"/>
                  <w:noWrap w:val="0"/>
                  <w:vAlign w:val="center"/>
                </w:tcPr>
                <w:p>
                  <w:pPr>
                    <w:pStyle w:val="4"/>
                    <w:snapToGrid w:val="0"/>
                    <w:spacing w:line="320" w:lineRule="exact"/>
                    <w:ind w:left="396" w:hanging="396"/>
                    <w:jc w:val="center"/>
                    <w:outlineLvl w:val="0"/>
                    <w:rPr>
                      <w:rFonts w:hint="eastAsia" w:ascii="宋体" w:hAnsi="宋体" w:eastAsia="宋体" w:cs="宋体"/>
                      <w:spacing w:val="-6"/>
                      <w:sz w:val="22"/>
                      <w:szCs w:val="22"/>
                      <w:highlight w:val="none"/>
                    </w:rPr>
                  </w:pPr>
                  <w:r>
                    <w:rPr>
                      <w:rFonts w:hint="eastAsia" w:ascii="宋体" w:hAnsi="宋体" w:eastAsia="宋体" w:cs="宋体"/>
                      <w:spacing w:val="-6"/>
                      <w:sz w:val="22"/>
                      <w:szCs w:val="22"/>
                      <w:highlight w:val="none"/>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pStyle w:val="4"/>
                    <w:snapToGrid w:val="0"/>
                    <w:spacing w:line="320" w:lineRule="exact"/>
                    <w:ind w:left="420" w:hanging="420"/>
                    <w:jc w:val="center"/>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1</w:t>
                  </w:r>
                </w:p>
              </w:tc>
              <w:tc>
                <w:tcPr>
                  <w:tcW w:w="925" w:type="dxa"/>
                  <w:noWrap w:val="0"/>
                  <w:vAlign w:val="center"/>
                </w:tcPr>
                <w:p>
                  <w:pPr>
                    <w:pStyle w:val="4"/>
                    <w:snapToGrid w:val="0"/>
                    <w:spacing w:line="320" w:lineRule="exact"/>
                    <w:ind w:left="420" w:hanging="420"/>
                    <w:jc w:val="center"/>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安全</w:t>
                  </w:r>
                </w:p>
                <w:p>
                  <w:pPr>
                    <w:pStyle w:val="4"/>
                    <w:snapToGrid w:val="0"/>
                    <w:spacing w:line="320" w:lineRule="exact"/>
                    <w:ind w:left="420" w:hanging="420"/>
                    <w:jc w:val="center"/>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性能</w:t>
                  </w:r>
                </w:p>
              </w:tc>
              <w:tc>
                <w:tcPr>
                  <w:tcW w:w="5013" w:type="dxa"/>
                  <w:noWrap w:val="0"/>
                  <w:vAlign w:val="center"/>
                </w:tcPr>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1.甲醛含量：≤75mg/kg；</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2.pH值：4.0～8.5；</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3.耐水、耐酸汗渍、耐碱汗渍的色牢度（变色、沾色）及耐干摩擦色牢度：≥3级；</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4.异味：无；</w:t>
                  </w:r>
                </w:p>
                <w:p>
                  <w:pPr>
                    <w:pStyle w:val="4"/>
                    <w:snapToGrid w:val="0"/>
                    <w:spacing w:line="320" w:lineRule="exact"/>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5.可分解致癌芳香胺染料：禁用。</w:t>
                  </w:r>
                </w:p>
              </w:tc>
              <w:tc>
                <w:tcPr>
                  <w:tcW w:w="2262" w:type="dxa"/>
                  <w:noWrap w:val="0"/>
                  <w:vAlign w:val="center"/>
                </w:tcPr>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国家强制性标准GB18401-2010《国家纺织产品基本安全技术规范》的第5.1条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pStyle w:val="4"/>
                    <w:snapToGrid w:val="0"/>
                    <w:spacing w:line="320" w:lineRule="exact"/>
                    <w:ind w:left="420" w:hanging="420"/>
                    <w:jc w:val="center"/>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2</w:t>
                  </w:r>
                </w:p>
              </w:tc>
              <w:tc>
                <w:tcPr>
                  <w:tcW w:w="925" w:type="dxa"/>
                  <w:noWrap w:val="0"/>
                  <w:vAlign w:val="center"/>
                </w:tcPr>
                <w:p>
                  <w:pPr>
                    <w:pStyle w:val="4"/>
                    <w:snapToGrid w:val="0"/>
                    <w:spacing w:line="320" w:lineRule="exact"/>
                    <w:ind w:left="420" w:hanging="420"/>
                    <w:jc w:val="center"/>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内在</w:t>
                  </w:r>
                </w:p>
                <w:p>
                  <w:pPr>
                    <w:pStyle w:val="4"/>
                    <w:snapToGrid w:val="0"/>
                    <w:spacing w:line="320" w:lineRule="exact"/>
                    <w:ind w:left="420" w:hanging="420"/>
                    <w:jc w:val="center"/>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质量</w:t>
                  </w:r>
                </w:p>
              </w:tc>
              <w:tc>
                <w:tcPr>
                  <w:tcW w:w="5013" w:type="dxa"/>
                  <w:noWrap w:val="0"/>
                  <w:vAlign w:val="center"/>
                </w:tcPr>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1.纤维含量偏差：符合GB/T29862标准；</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2.断裂强力：≥220N；</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3.水洗、干洗尺寸变化率：±5.0%</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4.耐光色牢度（变色）：≥3级；</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5.耐皂洗色牢度（变色、沾色）：≥3级；</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6.耐干洗色牢度（变色、液沾色）：≥3级；</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7.耐湿摩擦色牢度：≥2-3级。</w:t>
                  </w:r>
                </w:p>
              </w:tc>
              <w:tc>
                <w:tcPr>
                  <w:tcW w:w="2262" w:type="dxa"/>
                  <w:noWrap w:val="0"/>
                  <w:vAlign w:val="center"/>
                </w:tcPr>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GB/T22796-2009《被、被套》的第4.3条，</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GB/T22797-2009《床单》的第4.3条，</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 xml:space="preserve"> GB/T22843-2009《枕、垫类产品》的第4.3条。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pStyle w:val="4"/>
                    <w:snapToGrid w:val="0"/>
                    <w:spacing w:line="320" w:lineRule="exact"/>
                    <w:ind w:left="420" w:hanging="420"/>
                    <w:jc w:val="center"/>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3</w:t>
                  </w:r>
                </w:p>
              </w:tc>
              <w:tc>
                <w:tcPr>
                  <w:tcW w:w="925" w:type="dxa"/>
                  <w:noWrap w:val="0"/>
                  <w:vAlign w:val="center"/>
                </w:tcPr>
                <w:p>
                  <w:pPr>
                    <w:pStyle w:val="4"/>
                    <w:snapToGrid w:val="0"/>
                    <w:spacing w:line="320" w:lineRule="exact"/>
                    <w:ind w:left="420" w:hanging="420"/>
                    <w:jc w:val="center"/>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外观</w:t>
                  </w:r>
                </w:p>
                <w:p>
                  <w:pPr>
                    <w:pStyle w:val="4"/>
                    <w:snapToGrid w:val="0"/>
                    <w:spacing w:line="320" w:lineRule="exact"/>
                    <w:ind w:left="420" w:hanging="420"/>
                    <w:jc w:val="center"/>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质量</w:t>
                  </w:r>
                </w:p>
              </w:tc>
              <w:tc>
                <w:tcPr>
                  <w:tcW w:w="5013" w:type="dxa"/>
                  <w:noWrap w:val="0"/>
                  <w:vAlign w:val="center"/>
                </w:tcPr>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1.尺寸偏差率：床单≥-2.5%，被套≥-2.5%，枕套≥-3.5%；</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2.纬斜、花斜：≤4.0%；</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3.色花、色差：≥3-4级；</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4.外观疵点：破损不允许，针眼长度小于2cm；色、污渍轻微瑕疵允许3处/件；</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5.印花、图案质量不影响外观；</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6.缝纫质量：缝迹匀、直、牢固，卷边拼缝平服齐直，宽狭一致，不露毛，面（里）料缝制错位小于1cm；边口处应打回针；跳针、浮针、漏针、脱线≤1针/处，≤3处/件；偏针≤0.5cm/20cm；</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7.附件：选用适合的缝线、纽扣、拉链等附件，且质量符合相关标准要求。</w:t>
                  </w:r>
                </w:p>
              </w:tc>
              <w:tc>
                <w:tcPr>
                  <w:tcW w:w="2262" w:type="dxa"/>
                  <w:noWrap w:val="0"/>
                  <w:vAlign w:val="center"/>
                </w:tcPr>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GB/T22796-2009《被、被套》的第4.4和4.5条，GB/T22797-2009《床单》的第4.4条，</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GB/T22843-2009《枕、垫类产品》的第4.4条。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pStyle w:val="4"/>
                    <w:snapToGrid w:val="0"/>
                    <w:spacing w:line="320" w:lineRule="exact"/>
                    <w:ind w:left="420" w:hanging="420"/>
                    <w:jc w:val="center"/>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4</w:t>
                  </w:r>
                </w:p>
              </w:tc>
              <w:tc>
                <w:tcPr>
                  <w:tcW w:w="925" w:type="dxa"/>
                  <w:noWrap w:val="0"/>
                  <w:vAlign w:val="center"/>
                </w:tcPr>
                <w:p>
                  <w:pPr>
                    <w:pStyle w:val="4"/>
                    <w:snapToGrid w:val="0"/>
                    <w:spacing w:line="320" w:lineRule="exact"/>
                    <w:ind w:left="420" w:hanging="420"/>
                    <w:jc w:val="center"/>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产品</w:t>
                  </w:r>
                </w:p>
                <w:p>
                  <w:pPr>
                    <w:pStyle w:val="4"/>
                    <w:snapToGrid w:val="0"/>
                    <w:spacing w:line="320" w:lineRule="exact"/>
                    <w:ind w:left="420" w:hanging="420"/>
                    <w:jc w:val="center"/>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标识</w:t>
                  </w:r>
                </w:p>
              </w:tc>
              <w:tc>
                <w:tcPr>
                  <w:tcW w:w="5013" w:type="dxa"/>
                  <w:noWrap w:val="0"/>
                  <w:vAlign w:val="center"/>
                </w:tcPr>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1.产品名称；</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2.产品规格（长度×宽度、填充物重量）；</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3.纤维成分（按GB/T29862的规定标明其纤维的成分及含量）；</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4.维护方法（按GB/T8685规定的图形符号表述，当图形符号满足不了需要时，可用文字予以说明）；</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5.执行标准（标明所执行的国家、行业、地方或企业的产品标准编号）；</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6.安全类别（应根据GB18401标明产品的安全类别，床上用品属于B类）；</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7.质量等级：一等品</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8.制造商名称及地址</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9.检验合格证明</w:t>
                  </w:r>
                </w:p>
              </w:tc>
              <w:tc>
                <w:tcPr>
                  <w:tcW w:w="2262" w:type="dxa"/>
                  <w:noWrap w:val="0"/>
                  <w:vAlign w:val="center"/>
                </w:tcPr>
                <w:p>
                  <w:pPr>
                    <w:pStyle w:val="4"/>
                    <w:snapToGrid w:val="0"/>
                    <w:spacing w:line="320" w:lineRule="exact"/>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国家强制性标准GB 5296.4《消费品使用说明  第4部分纺织品和服装》的第5章和第6章</w:t>
                  </w:r>
                </w:p>
                <w:p>
                  <w:pPr>
                    <w:pStyle w:val="4"/>
                    <w:snapToGrid w:val="0"/>
                    <w:spacing w:line="320" w:lineRule="exact"/>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注意：其中2规格、3纤维成分及含量和4维护办法应采用耐久性标签</w:t>
                  </w:r>
                </w:p>
              </w:tc>
            </w:tr>
          </w:tbl>
          <w:p>
            <w:pPr>
              <w:spacing w:line="400" w:lineRule="exact"/>
              <w:rPr>
                <w:rFonts w:hint="eastAsia" w:ascii="宋体" w:hAnsi="宋体" w:eastAsia="宋体" w:cs="宋体"/>
                <w:b/>
                <w:sz w:val="22"/>
                <w:szCs w:val="22"/>
                <w:highlight w:val="none"/>
              </w:rPr>
            </w:pPr>
            <w:r>
              <w:rPr>
                <w:rFonts w:hint="eastAsia" w:ascii="宋体" w:hAnsi="宋体" w:eastAsia="宋体" w:cs="宋体"/>
                <w:b/>
                <w:bCs/>
                <w:sz w:val="22"/>
                <w:szCs w:val="22"/>
                <w:highlight w:val="none"/>
              </w:rPr>
              <w:t>2.梳棉胎（盖胎、垫胎）须符合以下标准要求：</w:t>
            </w:r>
          </w:p>
          <w:tbl>
            <w:tblPr>
              <w:tblStyle w:val="5"/>
              <w:tblW w:w="8975"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925"/>
              <w:gridCol w:w="4972"/>
              <w:gridCol w:w="2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00" w:type="dxa"/>
                  <w:noWrap w:val="0"/>
                  <w:vAlign w:val="center"/>
                </w:tcPr>
                <w:p>
                  <w:pPr>
                    <w:pStyle w:val="4"/>
                    <w:snapToGrid w:val="0"/>
                    <w:spacing w:line="360" w:lineRule="auto"/>
                    <w:ind w:left="396" w:hanging="396"/>
                    <w:jc w:val="center"/>
                    <w:outlineLvl w:val="0"/>
                    <w:rPr>
                      <w:rFonts w:hint="eastAsia" w:ascii="宋体" w:hAnsi="宋体" w:eastAsia="宋体" w:cs="宋体"/>
                      <w:spacing w:val="-6"/>
                      <w:sz w:val="22"/>
                      <w:szCs w:val="22"/>
                      <w:highlight w:val="none"/>
                    </w:rPr>
                  </w:pPr>
                  <w:r>
                    <w:rPr>
                      <w:rFonts w:hint="eastAsia" w:ascii="宋体" w:hAnsi="宋体" w:eastAsia="宋体" w:cs="宋体"/>
                      <w:spacing w:val="-6"/>
                      <w:sz w:val="22"/>
                      <w:szCs w:val="22"/>
                      <w:highlight w:val="none"/>
                    </w:rPr>
                    <w:t>序号</w:t>
                  </w:r>
                </w:p>
              </w:tc>
              <w:tc>
                <w:tcPr>
                  <w:tcW w:w="925" w:type="dxa"/>
                  <w:noWrap w:val="0"/>
                  <w:vAlign w:val="center"/>
                </w:tcPr>
                <w:p>
                  <w:pPr>
                    <w:pStyle w:val="4"/>
                    <w:snapToGrid w:val="0"/>
                    <w:spacing w:line="360" w:lineRule="auto"/>
                    <w:ind w:left="396" w:hanging="396"/>
                    <w:jc w:val="center"/>
                    <w:outlineLvl w:val="0"/>
                    <w:rPr>
                      <w:rFonts w:hint="eastAsia" w:ascii="宋体" w:hAnsi="宋体" w:eastAsia="宋体" w:cs="宋体"/>
                      <w:spacing w:val="-6"/>
                      <w:sz w:val="22"/>
                      <w:szCs w:val="22"/>
                      <w:highlight w:val="none"/>
                    </w:rPr>
                  </w:pPr>
                  <w:r>
                    <w:rPr>
                      <w:rFonts w:hint="eastAsia" w:ascii="宋体" w:hAnsi="宋体" w:eastAsia="宋体" w:cs="宋体"/>
                      <w:spacing w:val="-6"/>
                      <w:sz w:val="22"/>
                      <w:szCs w:val="22"/>
                      <w:highlight w:val="none"/>
                    </w:rPr>
                    <w:t>项目</w:t>
                  </w:r>
                </w:p>
              </w:tc>
              <w:tc>
                <w:tcPr>
                  <w:tcW w:w="4987" w:type="dxa"/>
                  <w:noWrap w:val="0"/>
                  <w:vAlign w:val="center"/>
                </w:tcPr>
                <w:p>
                  <w:pPr>
                    <w:pStyle w:val="4"/>
                    <w:snapToGrid w:val="0"/>
                    <w:spacing w:line="360" w:lineRule="auto"/>
                    <w:ind w:left="396" w:hanging="396"/>
                    <w:jc w:val="center"/>
                    <w:outlineLvl w:val="0"/>
                    <w:rPr>
                      <w:rFonts w:hint="eastAsia" w:ascii="宋体" w:hAnsi="宋体" w:eastAsia="宋体" w:cs="宋体"/>
                      <w:spacing w:val="-6"/>
                      <w:sz w:val="22"/>
                      <w:szCs w:val="22"/>
                      <w:highlight w:val="none"/>
                    </w:rPr>
                  </w:pPr>
                  <w:r>
                    <w:rPr>
                      <w:rFonts w:hint="eastAsia" w:ascii="宋体" w:hAnsi="宋体" w:eastAsia="宋体" w:cs="宋体"/>
                      <w:spacing w:val="-6"/>
                      <w:sz w:val="22"/>
                      <w:szCs w:val="22"/>
                      <w:highlight w:val="none"/>
                    </w:rPr>
                    <w:t>标准</w:t>
                  </w:r>
                </w:p>
              </w:tc>
              <w:tc>
                <w:tcPr>
                  <w:tcW w:w="2263" w:type="dxa"/>
                  <w:noWrap w:val="0"/>
                  <w:vAlign w:val="center"/>
                </w:tcPr>
                <w:p>
                  <w:pPr>
                    <w:pStyle w:val="4"/>
                    <w:snapToGrid w:val="0"/>
                    <w:spacing w:line="360" w:lineRule="auto"/>
                    <w:ind w:left="396" w:hanging="396"/>
                    <w:jc w:val="center"/>
                    <w:outlineLvl w:val="0"/>
                    <w:rPr>
                      <w:rFonts w:hint="eastAsia" w:ascii="宋体" w:hAnsi="宋体" w:eastAsia="宋体" w:cs="宋体"/>
                      <w:spacing w:val="-6"/>
                      <w:sz w:val="22"/>
                      <w:szCs w:val="22"/>
                      <w:highlight w:val="none"/>
                    </w:rPr>
                  </w:pPr>
                  <w:r>
                    <w:rPr>
                      <w:rFonts w:hint="eastAsia" w:ascii="宋体" w:hAnsi="宋体" w:eastAsia="宋体" w:cs="宋体"/>
                      <w:spacing w:val="-6"/>
                      <w:sz w:val="22"/>
                      <w:szCs w:val="22"/>
                      <w:highlight w:val="none"/>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pStyle w:val="4"/>
                    <w:snapToGrid w:val="0"/>
                    <w:spacing w:line="240" w:lineRule="atLeast"/>
                    <w:ind w:left="420" w:hanging="420"/>
                    <w:jc w:val="center"/>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1</w:t>
                  </w:r>
                </w:p>
              </w:tc>
              <w:tc>
                <w:tcPr>
                  <w:tcW w:w="925" w:type="dxa"/>
                  <w:noWrap w:val="0"/>
                  <w:vAlign w:val="center"/>
                </w:tcPr>
                <w:p>
                  <w:pPr>
                    <w:pStyle w:val="4"/>
                    <w:snapToGrid w:val="0"/>
                    <w:spacing w:line="240" w:lineRule="atLeast"/>
                    <w:ind w:left="420" w:hanging="420"/>
                    <w:jc w:val="center"/>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原料</w:t>
                  </w:r>
                </w:p>
                <w:p>
                  <w:pPr>
                    <w:pStyle w:val="4"/>
                    <w:snapToGrid w:val="0"/>
                    <w:spacing w:line="240" w:lineRule="atLeast"/>
                    <w:ind w:left="420" w:hanging="420"/>
                    <w:jc w:val="center"/>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要求</w:t>
                  </w:r>
                </w:p>
              </w:tc>
              <w:tc>
                <w:tcPr>
                  <w:tcW w:w="4987" w:type="dxa"/>
                  <w:noWrap w:val="0"/>
                  <w:vAlign w:val="center"/>
                </w:tcPr>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1.不得使用以下物质用于棉胎加工的原料：</w:t>
                  </w:r>
                </w:p>
                <w:p>
                  <w:pPr>
                    <w:spacing w:line="320" w:lineRule="exact"/>
                    <w:ind w:firstLine="220" w:firstLineChars="100"/>
                    <w:rPr>
                      <w:rFonts w:hint="eastAsia" w:ascii="宋体" w:hAnsi="宋体" w:eastAsia="宋体" w:cs="宋体"/>
                      <w:bCs/>
                      <w:sz w:val="22"/>
                      <w:szCs w:val="22"/>
                      <w:highlight w:val="none"/>
                    </w:rPr>
                  </w:pPr>
                  <w:r>
                    <w:rPr>
                      <w:rFonts w:hint="eastAsia" w:ascii="宋体" w:hAnsi="宋体" w:eastAsia="宋体" w:cs="宋体"/>
                      <w:bCs/>
                      <w:sz w:val="22"/>
                      <w:szCs w:val="22"/>
                      <w:highlight w:val="none"/>
                    </w:rPr>
                    <w:t>a.医用纤维性废弃物；</w:t>
                  </w:r>
                </w:p>
                <w:p>
                  <w:pPr>
                    <w:spacing w:line="320" w:lineRule="exact"/>
                    <w:ind w:firstLine="220" w:firstLineChars="100"/>
                    <w:rPr>
                      <w:rFonts w:hint="eastAsia" w:ascii="宋体" w:hAnsi="宋体" w:eastAsia="宋体" w:cs="宋体"/>
                      <w:bCs/>
                      <w:sz w:val="22"/>
                      <w:szCs w:val="22"/>
                      <w:highlight w:val="none"/>
                    </w:rPr>
                  </w:pPr>
                  <w:r>
                    <w:rPr>
                      <w:rFonts w:hint="eastAsia" w:ascii="宋体" w:hAnsi="宋体" w:eastAsia="宋体" w:cs="宋体"/>
                      <w:bCs/>
                      <w:sz w:val="22"/>
                      <w:szCs w:val="22"/>
                      <w:highlight w:val="none"/>
                    </w:rPr>
                    <w:t>b.使用过的殡葬用纤维制品；</w:t>
                  </w:r>
                </w:p>
                <w:p>
                  <w:pPr>
                    <w:spacing w:line="320" w:lineRule="exact"/>
                    <w:ind w:firstLine="220" w:firstLineChars="100"/>
                    <w:rPr>
                      <w:rFonts w:hint="eastAsia" w:ascii="宋体" w:hAnsi="宋体" w:eastAsia="宋体" w:cs="宋体"/>
                      <w:bCs/>
                      <w:sz w:val="22"/>
                      <w:szCs w:val="22"/>
                      <w:highlight w:val="none"/>
                    </w:rPr>
                  </w:pPr>
                  <w:r>
                    <w:rPr>
                      <w:rFonts w:hint="eastAsia" w:ascii="宋体" w:hAnsi="宋体" w:eastAsia="宋体" w:cs="宋体"/>
                      <w:bCs/>
                      <w:sz w:val="22"/>
                      <w:szCs w:val="22"/>
                      <w:highlight w:val="none"/>
                    </w:rPr>
                    <w:t>c.来自传染病疫区无法证明未被污染的纤维制品；</w:t>
                  </w:r>
                </w:p>
                <w:p>
                  <w:pPr>
                    <w:spacing w:line="320" w:lineRule="exact"/>
                    <w:ind w:firstLine="220" w:firstLineChars="100"/>
                    <w:rPr>
                      <w:rFonts w:hint="eastAsia" w:ascii="宋体" w:hAnsi="宋体" w:eastAsia="宋体" w:cs="宋体"/>
                      <w:bCs/>
                      <w:sz w:val="22"/>
                      <w:szCs w:val="22"/>
                      <w:highlight w:val="none"/>
                    </w:rPr>
                  </w:pPr>
                  <w:r>
                    <w:rPr>
                      <w:rFonts w:hint="eastAsia" w:ascii="宋体" w:hAnsi="宋体" w:eastAsia="宋体" w:cs="宋体"/>
                      <w:bCs/>
                      <w:sz w:val="22"/>
                      <w:szCs w:val="22"/>
                      <w:highlight w:val="none"/>
                    </w:rPr>
                    <w:t>d.国家禁止进口的废旧纤维制品；</w:t>
                  </w:r>
                </w:p>
                <w:p>
                  <w:pPr>
                    <w:spacing w:line="320" w:lineRule="exact"/>
                    <w:ind w:firstLine="220" w:firstLineChars="100"/>
                    <w:rPr>
                      <w:rFonts w:hint="eastAsia" w:ascii="宋体" w:hAnsi="宋体" w:eastAsia="宋体" w:cs="宋体"/>
                      <w:bCs/>
                      <w:sz w:val="22"/>
                      <w:szCs w:val="22"/>
                      <w:highlight w:val="none"/>
                    </w:rPr>
                  </w:pPr>
                  <w:r>
                    <w:rPr>
                      <w:rFonts w:hint="eastAsia" w:ascii="宋体" w:hAnsi="宋体" w:eastAsia="宋体" w:cs="宋体"/>
                      <w:bCs/>
                      <w:sz w:val="22"/>
                      <w:szCs w:val="22"/>
                      <w:highlight w:val="none"/>
                    </w:rPr>
                    <w:t>e.其他被严重污染或有毒有害的物品；</w:t>
                  </w:r>
                </w:p>
                <w:p>
                  <w:pPr>
                    <w:spacing w:line="320" w:lineRule="exact"/>
                    <w:ind w:firstLine="220" w:firstLineChars="100"/>
                    <w:rPr>
                      <w:rFonts w:hint="eastAsia" w:ascii="宋体" w:hAnsi="宋体" w:eastAsia="宋体" w:cs="宋体"/>
                      <w:bCs/>
                      <w:sz w:val="22"/>
                      <w:szCs w:val="22"/>
                      <w:highlight w:val="none"/>
                    </w:rPr>
                  </w:pPr>
                  <w:r>
                    <w:rPr>
                      <w:rFonts w:hint="eastAsia" w:ascii="宋体" w:hAnsi="宋体" w:eastAsia="宋体" w:cs="宋体"/>
                      <w:bCs/>
                      <w:sz w:val="22"/>
                      <w:szCs w:val="22"/>
                      <w:highlight w:val="none"/>
                    </w:rPr>
                    <w:t>f.被污染的纤维下脚；</w:t>
                  </w:r>
                </w:p>
                <w:p>
                  <w:pPr>
                    <w:spacing w:line="320" w:lineRule="exact"/>
                    <w:ind w:firstLine="220" w:firstLineChars="100"/>
                    <w:rPr>
                      <w:rFonts w:hint="eastAsia" w:ascii="宋体" w:hAnsi="宋体" w:eastAsia="宋体" w:cs="宋体"/>
                      <w:bCs/>
                      <w:sz w:val="22"/>
                      <w:szCs w:val="22"/>
                      <w:highlight w:val="none"/>
                    </w:rPr>
                  </w:pPr>
                  <w:r>
                    <w:rPr>
                      <w:rFonts w:hint="eastAsia" w:ascii="宋体" w:hAnsi="宋体" w:eastAsia="宋体" w:cs="宋体"/>
                      <w:bCs/>
                      <w:sz w:val="22"/>
                      <w:szCs w:val="22"/>
                      <w:highlight w:val="none"/>
                    </w:rPr>
                    <w:t>g.废旧纤维制品或其再加工纤维；</w:t>
                  </w:r>
                </w:p>
                <w:p>
                  <w:pPr>
                    <w:spacing w:line="320" w:lineRule="exact"/>
                    <w:ind w:firstLine="220" w:firstLineChars="100"/>
                    <w:rPr>
                      <w:rFonts w:hint="eastAsia" w:ascii="宋体" w:hAnsi="宋体" w:eastAsia="宋体" w:cs="宋体"/>
                      <w:bCs/>
                      <w:sz w:val="22"/>
                      <w:szCs w:val="22"/>
                      <w:highlight w:val="none"/>
                    </w:rPr>
                  </w:pPr>
                  <w:r>
                    <w:rPr>
                      <w:rFonts w:hint="eastAsia" w:ascii="宋体" w:hAnsi="宋体" w:eastAsia="宋体" w:cs="宋体"/>
                      <w:bCs/>
                      <w:sz w:val="22"/>
                      <w:szCs w:val="22"/>
                      <w:highlight w:val="none"/>
                    </w:rPr>
                    <w:t>h.纤维制品下脚或其再加工纤维；</w:t>
                  </w:r>
                </w:p>
                <w:p>
                  <w:pPr>
                    <w:spacing w:line="320" w:lineRule="exact"/>
                    <w:ind w:firstLine="220" w:firstLineChars="100"/>
                    <w:rPr>
                      <w:rFonts w:hint="eastAsia" w:ascii="宋体" w:hAnsi="宋体" w:eastAsia="宋体" w:cs="宋体"/>
                      <w:bCs/>
                      <w:sz w:val="22"/>
                      <w:szCs w:val="22"/>
                      <w:highlight w:val="none"/>
                    </w:rPr>
                  </w:pPr>
                  <w:r>
                    <w:rPr>
                      <w:rFonts w:hint="eastAsia" w:ascii="宋体" w:hAnsi="宋体" w:eastAsia="宋体" w:cs="宋体"/>
                      <w:bCs/>
                      <w:sz w:val="22"/>
                      <w:szCs w:val="22"/>
                      <w:highlight w:val="none"/>
                    </w:rPr>
                    <w:t>i.GB/T5705中规定的的二、三类棉短绒；</w:t>
                  </w:r>
                </w:p>
                <w:p>
                  <w:pPr>
                    <w:spacing w:line="320" w:lineRule="exact"/>
                    <w:ind w:firstLine="220" w:firstLineChars="100"/>
                    <w:rPr>
                      <w:rFonts w:hint="eastAsia" w:ascii="宋体" w:hAnsi="宋体" w:eastAsia="宋体" w:cs="宋体"/>
                      <w:bCs/>
                      <w:sz w:val="22"/>
                      <w:szCs w:val="22"/>
                      <w:highlight w:val="none"/>
                    </w:rPr>
                  </w:pPr>
                  <w:r>
                    <w:rPr>
                      <w:rFonts w:hint="eastAsia" w:ascii="宋体" w:hAnsi="宋体" w:eastAsia="宋体" w:cs="宋体"/>
                      <w:bCs/>
                      <w:sz w:val="22"/>
                      <w:szCs w:val="22"/>
                      <w:highlight w:val="none"/>
                    </w:rPr>
                    <w:t>j.经脱色漂白处理的纤维下脚、纤维制品下脚、再加工纤维；</w:t>
                  </w:r>
                </w:p>
                <w:p>
                  <w:pPr>
                    <w:spacing w:line="320" w:lineRule="exact"/>
                    <w:ind w:firstLine="220" w:firstLineChars="100"/>
                    <w:rPr>
                      <w:rFonts w:hint="eastAsia" w:ascii="宋体" w:hAnsi="宋体" w:eastAsia="宋体" w:cs="宋体"/>
                      <w:bCs/>
                      <w:sz w:val="22"/>
                      <w:szCs w:val="22"/>
                      <w:highlight w:val="none"/>
                    </w:rPr>
                  </w:pPr>
                  <w:r>
                    <w:rPr>
                      <w:rFonts w:hint="eastAsia" w:ascii="宋体" w:hAnsi="宋体" w:eastAsia="宋体" w:cs="宋体"/>
                      <w:bCs/>
                      <w:sz w:val="22"/>
                      <w:szCs w:val="22"/>
                      <w:highlight w:val="none"/>
                    </w:rPr>
                    <w:t>k.未洗净的动物纤维；</w:t>
                  </w:r>
                </w:p>
                <w:p>
                  <w:pPr>
                    <w:spacing w:line="320" w:lineRule="exact"/>
                    <w:ind w:firstLine="220" w:firstLineChars="100"/>
                    <w:rPr>
                      <w:rFonts w:hint="eastAsia" w:ascii="宋体" w:hAnsi="宋体" w:eastAsia="宋体" w:cs="宋体"/>
                      <w:bCs/>
                      <w:sz w:val="22"/>
                      <w:szCs w:val="22"/>
                      <w:highlight w:val="none"/>
                    </w:rPr>
                  </w:pPr>
                  <w:r>
                    <w:rPr>
                      <w:rFonts w:hint="eastAsia" w:ascii="宋体" w:hAnsi="宋体" w:eastAsia="宋体" w:cs="宋体"/>
                      <w:bCs/>
                      <w:sz w:val="22"/>
                      <w:szCs w:val="22"/>
                      <w:highlight w:val="none"/>
                    </w:rPr>
                    <w:t>l.发霉变质的絮用纤维。</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2.不得检出金属物或尖锐物等有危害性的杂质，如针、铁丝、木棍等；不得检出昆虫、鸟类、啮齿动物等的排泄物或其他不卫生物品；不得检出明显的粉尘。</w:t>
                  </w:r>
                </w:p>
                <w:p>
                  <w:pPr>
                    <w:pStyle w:val="4"/>
                    <w:snapToGrid w:val="0"/>
                    <w:spacing w:line="320" w:lineRule="exact"/>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3.原棉中的絮用纤维长度13mm及以下的短纤维含量不得超过25%。</w:t>
                  </w:r>
                </w:p>
              </w:tc>
              <w:tc>
                <w:tcPr>
                  <w:tcW w:w="2263" w:type="dxa"/>
                  <w:noWrap w:val="0"/>
                  <w:vAlign w:val="center"/>
                </w:tcPr>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国家强制性标准GB18383《絮用纤维制品通用技术要求》的第4.1条。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pStyle w:val="4"/>
                    <w:snapToGrid w:val="0"/>
                    <w:spacing w:line="240" w:lineRule="atLeast"/>
                    <w:ind w:left="420" w:hanging="420"/>
                    <w:jc w:val="center"/>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2</w:t>
                  </w:r>
                </w:p>
              </w:tc>
              <w:tc>
                <w:tcPr>
                  <w:tcW w:w="925" w:type="dxa"/>
                  <w:noWrap w:val="0"/>
                  <w:vAlign w:val="center"/>
                </w:tcPr>
                <w:p>
                  <w:pPr>
                    <w:pStyle w:val="4"/>
                    <w:snapToGrid w:val="0"/>
                    <w:spacing w:line="240" w:lineRule="atLeast"/>
                    <w:ind w:left="420" w:hanging="420"/>
                    <w:jc w:val="center"/>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棉胎</w:t>
                  </w:r>
                </w:p>
                <w:p>
                  <w:pPr>
                    <w:pStyle w:val="4"/>
                    <w:snapToGrid w:val="0"/>
                    <w:spacing w:line="240" w:lineRule="atLeast"/>
                    <w:ind w:left="420" w:hanging="420"/>
                    <w:jc w:val="center"/>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品级</w:t>
                  </w:r>
                </w:p>
              </w:tc>
              <w:tc>
                <w:tcPr>
                  <w:tcW w:w="4987" w:type="dxa"/>
                  <w:noWrap w:val="0"/>
                  <w:vAlign w:val="top"/>
                </w:tcPr>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1.锯齿棉：</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一级梳棉胎所用颜色级为31及以上（即白棉三级及以上；色泽为白色或乳白，稍亮；形态为纤维松散均匀，手感柔软，弹性较好）；</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二级梳棉胎所用颜色级为22及以上（即淡点污棉二级及以上；色泽为乳白带阴黄，显淡黄点；纤维松散均匀一般，手感弹性稍差）。</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2.皮辊棉：</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一级梳棉胎所用原棉为三级；</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二级梳棉胎所用原棉为四级。</w:t>
                  </w:r>
                </w:p>
              </w:tc>
              <w:tc>
                <w:tcPr>
                  <w:tcW w:w="2263" w:type="dxa"/>
                  <w:noWrap w:val="0"/>
                  <w:vAlign w:val="center"/>
                </w:tcPr>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国家强制性标准GB1103.1《棉花第1部分 锯齿加工细绒棉》的第4.1.1条，</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GH/T1020《梳棉胎》的第4.2和5.1条。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00" w:type="dxa"/>
                  <w:noWrap w:val="0"/>
                  <w:vAlign w:val="center"/>
                </w:tcPr>
                <w:p>
                  <w:pPr>
                    <w:pStyle w:val="4"/>
                    <w:snapToGrid w:val="0"/>
                    <w:spacing w:line="240" w:lineRule="atLeast"/>
                    <w:ind w:left="420" w:hanging="420"/>
                    <w:jc w:val="center"/>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3</w:t>
                  </w:r>
                </w:p>
              </w:tc>
              <w:tc>
                <w:tcPr>
                  <w:tcW w:w="925" w:type="dxa"/>
                  <w:noWrap w:val="0"/>
                  <w:vAlign w:val="center"/>
                </w:tcPr>
                <w:p>
                  <w:pPr>
                    <w:pStyle w:val="4"/>
                    <w:snapToGrid w:val="0"/>
                    <w:spacing w:line="240" w:lineRule="atLeast"/>
                    <w:ind w:left="420" w:hanging="420"/>
                    <w:jc w:val="center"/>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含杂</w:t>
                  </w:r>
                </w:p>
                <w:p>
                  <w:pPr>
                    <w:pStyle w:val="4"/>
                    <w:snapToGrid w:val="0"/>
                    <w:spacing w:line="240" w:lineRule="atLeast"/>
                    <w:ind w:left="420" w:hanging="420"/>
                    <w:jc w:val="center"/>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率</w:t>
                  </w:r>
                </w:p>
              </w:tc>
              <w:tc>
                <w:tcPr>
                  <w:tcW w:w="4987" w:type="dxa"/>
                  <w:noWrap w:val="0"/>
                  <w:vAlign w:val="top"/>
                </w:tcPr>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一级：≤0.8%，二级：≤1%。</w:t>
                  </w:r>
                </w:p>
              </w:tc>
              <w:tc>
                <w:tcPr>
                  <w:tcW w:w="2263" w:type="dxa"/>
                  <w:noWrap w:val="0"/>
                  <w:vAlign w:val="center"/>
                </w:tcPr>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GH/T1020《梳棉胎》的第5.2条。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pStyle w:val="4"/>
                    <w:snapToGrid w:val="0"/>
                    <w:spacing w:line="240" w:lineRule="atLeast"/>
                    <w:ind w:left="420" w:hanging="420"/>
                    <w:jc w:val="center"/>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4</w:t>
                  </w:r>
                </w:p>
              </w:tc>
              <w:tc>
                <w:tcPr>
                  <w:tcW w:w="925" w:type="dxa"/>
                  <w:noWrap w:val="0"/>
                  <w:vAlign w:val="center"/>
                </w:tcPr>
                <w:p>
                  <w:pPr>
                    <w:pStyle w:val="4"/>
                    <w:snapToGrid w:val="0"/>
                    <w:spacing w:line="240" w:lineRule="atLeast"/>
                    <w:ind w:left="420" w:hanging="420"/>
                    <w:jc w:val="center"/>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网纱</w:t>
                  </w:r>
                </w:p>
              </w:tc>
              <w:tc>
                <w:tcPr>
                  <w:tcW w:w="4987" w:type="dxa"/>
                  <w:noWrap w:val="0"/>
                  <w:vAlign w:val="top"/>
                </w:tcPr>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面纱：面纱采用双根面纱网制，正、反面各三层，分竖纱一层，左右斜纱各一层，每10cm长度范围内竖纱、左右斜纱各不少于13道。3根以上的并纱不超过3处，缺纱小于2%。</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筋纱：每面竖筋等距离分配不少于10道，左右斜筋各不少于15道，成菱形。每道筋纱（竖筋、左右斜筋）用纱不少于2根。</w:t>
                  </w:r>
                </w:p>
              </w:tc>
              <w:tc>
                <w:tcPr>
                  <w:tcW w:w="2263" w:type="dxa"/>
                  <w:noWrap w:val="0"/>
                  <w:vAlign w:val="center"/>
                </w:tcPr>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GH/T1020《梳棉胎》的第5.2条。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00" w:type="dxa"/>
                  <w:noWrap w:val="0"/>
                  <w:vAlign w:val="center"/>
                </w:tcPr>
                <w:p>
                  <w:pPr>
                    <w:pStyle w:val="4"/>
                    <w:snapToGrid w:val="0"/>
                    <w:spacing w:line="240" w:lineRule="atLeast"/>
                    <w:ind w:left="420" w:hanging="420"/>
                    <w:jc w:val="center"/>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5</w:t>
                  </w:r>
                </w:p>
              </w:tc>
              <w:tc>
                <w:tcPr>
                  <w:tcW w:w="925" w:type="dxa"/>
                  <w:noWrap w:val="0"/>
                  <w:vAlign w:val="center"/>
                </w:tcPr>
                <w:p>
                  <w:pPr>
                    <w:pStyle w:val="4"/>
                    <w:snapToGrid w:val="0"/>
                    <w:spacing w:line="240" w:lineRule="atLeast"/>
                    <w:ind w:left="420" w:hanging="420"/>
                    <w:jc w:val="center"/>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研磨</w:t>
                  </w:r>
                </w:p>
              </w:tc>
              <w:tc>
                <w:tcPr>
                  <w:tcW w:w="4987" w:type="dxa"/>
                  <w:noWrap w:val="0"/>
                  <w:vAlign w:val="top"/>
                </w:tcPr>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网纱研磨较透，研磨率≥80%</w:t>
                  </w:r>
                </w:p>
              </w:tc>
              <w:tc>
                <w:tcPr>
                  <w:tcW w:w="2263" w:type="dxa"/>
                  <w:noWrap w:val="0"/>
                  <w:vAlign w:val="center"/>
                </w:tcPr>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GH/T1020《梳棉胎》的第5.2条。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00" w:type="dxa"/>
                  <w:noWrap w:val="0"/>
                  <w:vAlign w:val="center"/>
                </w:tcPr>
                <w:p>
                  <w:pPr>
                    <w:pStyle w:val="4"/>
                    <w:snapToGrid w:val="0"/>
                    <w:spacing w:line="240" w:lineRule="atLeast"/>
                    <w:ind w:left="420" w:hanging="420"/>
                    <w:jc w:val="center"/>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6</w:t>
                  </w:r>
                </w:p>
              </w:tc>
              <w:tc>
                <w:tcPr>
                  <w:tcW w:w="925" w:type="dxa"/>
                  <w:noWrap w:val="0"/>
                  <w:vAlign w:val="center"/>
                </w:tcPr>
                <w:p>
                  <w:pPr>
                    <w:pStyle w:val="4"/>
                    <w:snapToGrid w:val="0"/>
                    <w:spacing w:line="240" w:lineRule="atLeast"/>
                    <w:ind w:left="420" w:hanging="420"/>
                    <w:jc w:val="center"/>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尺寸</w:t>
                  </w:r>
                </w:p>
                <w:p>
                  <w:pPr>
                    <w:pStyle w:val="4"/>
                    <w:snapToGrid w:val="0"/>
                    <w:spacing w:line="240" w:lineRule="atLeast"/>
                    <w:ind w:left="420" w:hanging="420"/>
                    <w:jc w:val="center"/>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允差</w:t>
                  </w:r>
                </w:p>
              </w:tc>
              <w:tc>
                <w:tcPr>
                  <w:tcW w:w="4987" w:type="dxa"/>
                  <w:noWrap w:val="0"/>
                  <w:vAlign w:val="top"/>
                </w:tcPr>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尺寸允差为±2%</w:t>
                  </w:r>
                </w:p>
              </w:tc>
              <w:tc>
                <w:tcPr>
                  <w:tcW w:w="2263" w:type="dxa"/>
                  <w:noWrap w:val="0"/>
                  <w:vAlign w:val="center"/>
                </w:tcPr>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GH/T1020《梳棉胎》的第3.2条。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pStyle w:val="4"/>
                    <w:snapToGrid w:val="0"/>
                    <w:spacing w:line="240" w:lineRule="atLeast"/>
                    <w:ind w:left="420" w:hanging="420"/>
                    <w:jc w:val="center"/>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7</w:t>
                  </w:r>
                </w:p>
              </w:tc>
              <w:tc>
                <w:tcPr>
                  <w:tcW w:w="925" w:type="dxa"/>
                  <w:noWrap w:val="0"/>
                  <w:vAlign w:val="center"/>
                </w:tcPr>
                <w:p>
                  <w:pPr>
                    <w:pStyle w:val="4"/>
                    <w:snapToGrid w:val="0"/>
                    <w:spacing w:line="240" w:lineRule="atLeast"/>
                    <w:ind w:left="420" w:hanging="420"/>
                    <w:jc w:val="center"/>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重量</w:t>
                  </w:r>
                </w:p>
                <w:p>
                  <w:pPr>
                    <w:pStyle w:val="4"/>
                    <w:snapToGrid w:val="0"/>
                    <w:spacing w:line="240" w:lineRule="atLeast"/>
                    <w:ind w:left="420" w:hanging="420"/>
                    <w:jc w:val="center"/>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允差</w:t>
                  </w:r>
                </w:p>
              </w:tc>
              <w:tc>
                <w:tcPr>
                  <w:tcW w:w="4987" w:type="dxa"/>
                  <w:noWrap w:val="0"/>
                  <w:vAlign w:val="top"/>
                </w:tcPr>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质量允差为-3%</w:t>
                  </w:r>
                </w:p>
              </w:tc>
              <w:tc>
                <w:tcPr>
                  <w:tcW w:w="2263" w:type="dxa"/>
                  <w:noWrap w:val="0"/>
                  <w:vAlign w:val="center"/>
                </w:tcPr>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GH/T1020《梳棉胎》的第5.2条。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pStyle w:val="4"/>
                    <w:snapToGrid w:val="0"/>
                    <w:spacing w:line="240" w:lineRule="atLeast"/>
                    <w:ind w:left="420" w:hanging="420"/>
                    <w:jc w:val="center"/>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8</w:t>
                  </w:r>
                </w:p>
              </w:tc>
              <w:tc>
                <w:tcPr>
                  <w:tcW w:w="925" w:type="dxa"/>
                  <w:noWrap w:val="0"/>
                  <w:vAlign w:val="center"/>
                </w:tcPr>
                <w:p>
                  <w:pPr>
                    <w:pStyle w:val="4"/>
                    <w:snapToGrid w:val="0"/>
                    <w:spacing w:line="240" w:lineRule="atLeast"/>
                    <w:ind w:left="420" w:hanging="420"/>
                    <w:jc w:val="center"/>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产品</w:t>
                  </w:r>
                </w:p>
                <w:p>
                  <w:pPr>
                    <w:pStyle w:val="4"/>
                    <w:snapToGrid w:val="0"/>
                    <w:spacing w:line="240" w:lineRule="atLeast"/>
                    <w:ind w:left="420" w:hanging="420"/>
                    <w:jc w:val="center"/>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标识</w:t>
                  </w:r>
                </w:p>
              </w:tc>
              <w:tc>
                <w:tcPr>
                  <w:tcW w:w="4987" w:type="dxa"/>
                  <w:noWrap w:val="0"/>
                  <w:vAlign w:val="center"/>
                </w:tcPr>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1.产品名称；</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2.产品规格（长度×宽度、棉胎重量）；</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3.纤维成分（按GB/T29862的规定标明其纤维的成分及含量）；</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4.维护方法（按GB/T8685规定的图形符号表述维护方法，当图形符号满足不了需要时，可用文字予以说明）；</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5.执行标准（标明所执行的国家、行业、地方或企业的产品标准编号）；</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6.安全类别（根据GB18401标明产品的安全类别，床上用品属于B类）；</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 xml:space="preserve">7.质量等级 </w:t>
                  </w:r>
                </w:p>
                <w:p>
                  <w:pPr>
                    <w:spacing w:line="32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8.制造商名称及地址</w:t>
                  </w:r>
                </w:p>
                <w:p>
                  <w:pPr>
                    <w:pStyle w:val="4"/>
                    <w:snapToGrid w:val="0"/>
                    <w:spacing w:line="320" w:lineRule="exact"/>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9.检验合格证明</w:t>
                  </w:r>
                </w:p>
              </w:tc>
              <w:tc>
                <w:tcPr>
                  <w:tcW w:w="2263" w:type="dxa"/>
                  <w:noWrap w:val="0"/>
                  <w:vAlign w:val="center"/>
                </w:tcPr>
                <w:p>
                  <w:pPr>
                    <w:pStyle w:val="4"/>
                    <w:snapToGrid w:val="0"/>
                    <w:spacing w:line="320" w:lineRule="exact"/>
                    <w:outlineLvl w:val="0"/>
                    <w:rPr>
                      <w:rFonts w:hint="eastAsia" w:ascii="宋体" w:hAnsi="宋体" w:eastAsia="宋体" w:cs="宋体"/>
                      <w:bCs/>
                      <w:sz w:val="22"/>
                      <w:szCs w:val="22"/>
                      <w:highlight w:val="none"/>
                    </w:rPr>
                  </w:pPr>
                  <w:r>
                    <w:rPr>
                      <w:rFonts w:hint="eastAsia" w:ascii="宋体" w:hAnsi="宋体" w:eastAsia="宋体" w:cs="宋体"/>
                      <w:bCs/>
                      <w:sz w:val="22"/>
                      <w:szCs w:val="22"/>
                      <w:highlight w:val="none"/>
                    </w:rPr>
                    <w:t>国家强制性标准GB 5296.4《消费品使用说明  第4部分纺织品和服装》的第5章和第6章</w:t>
                  </w:r>
                </w:p>
              </w:tc>
            </w:tr>
          </w:tbl>
          <w:p>
            <w:pPr>
              <w:widowControl/>
              <w:spacing w:line="400" w:lineRule="exact"/>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四、最终定价规则</w:t>
            </w:r>
          </w:p>
          <w:p>
            <w:pPr>
              <w:widowControl/>
              <w:spacing w:line="400" w:lineRule="exact"/>
              <w:ind w:firstLine="442" w:firstLineChars="20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lang w:eastAsia="zh-CN"/>
              </w:rPr>
              <w:t>最终定价规则：</w:t>
            </w:r>
            <w:r>
              <w:rPr>
                <w:rFonts w:hint="eastAsia" w:ascii="宋体" w:hAnsi="宋体" w:eastAsia="宋体" w:cs="宋体"/>
                <w:b/>
                <w:sz w:val="22"/>
                <w:szCs w:val="22"/>
                <w:highlight w:val="none"/>
              </w:rPr>
              <w:t>在选定四件套（1-4项）棉布样品后，以两个入围供应商本项目单套（14件）最终报价的平均值（以整元为单位，四舍五入）为统一合同价格。</w:t>
            </w:r>
          </w:p>
          <w:p>
            <w:pPr>
              <w:snapToGrid w:val="0"/>
              <w:spacing w:line="400" w:lineRule="exact"/>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五、销售方式</w:t>
            </w:r>
          </w:p>
          <w:p>
            <w:pPr>
              <w:widowControl/>
              <w:spacing w:line="40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1.具体交货方式、时间、数量、地址等在合同中未能予以明确的，由校方根据实际安排另行通知（至少提前15天通知乙方）。</w:t>
            </w:r>
          </w:p>
          <w:p>
            <w:pPr>
              <w:widowControl/>
              <w:spacing w:line="40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2.按照学校具体销售要求，定点设摊、现金销售、学生自愿购买，或学校有新生预订统计数据的，按分发名单发货到公寓楼。校方另有规定的从其规定。</w:t>
            </w:r>
          </w:p>
          <w:p>
            <w:pPr>
              <w:widowControl/>
              <w:spacing w:line="40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3.为确保个别提前到校及开学报到日的新生能及时购买生活用品，避免台风气候、交通等影响新生生活，生活用品必须在新生开学日前3日送达销售地点。</w:t>
            </w:r>
          </w:p>
          <w:p>
            <w:pPr>
              <w:widowControl/>
              <w:spacing w:line="400" w:lineRule="exact"/>
              <w:jc w:val="left"/>
              <w:rPr>
                <w:rFonts w:hint="eastAsia" w:ascii="宋体" w:hAnsi="宋体" w:eastAsia="宋体" w:cs="宋体"/>
                <w:sz w:val="22"/>
                <w:szCs w:val="22"/>
                <w:highlight w:val="none"/>
              </w:rPr>
            </w:pPr>
            <w:r>
              <w:rPr>
                <w:rFonts w:hint="eastAsia" w:ascii="宋体" w:hAnsi="宋体" w:eastAsia="宋体" w:cs="宋体"/>
                <w:b/>
                <w:sz w:val="22"/>
                <w:szCs w:val="22"/>
                <w:highlight w:val="none"/>
              </w:rPr>
              <w:t>4.若学校没有让新生预订，则以“学生自愿购买”的购买力30%预算，存在不可控因素，供应商应做好供货服务方案及应急预案，必须满足学生自愿购买的需求，不得以任何理由拒绝继续快速补货。</w:t>
            </w:r>
          </w:p>
          <w:p>
            <w:pPr>
              <w:spacing w:line="400" w:lineRule="exact"/>
              <w:rPr>
                <w:rFonts w:hint="eastAsia" w:ascii="宋体" w:hAnsi="宋体" w:eastAsia="宋体" w:cs="宋体"/>
                <w:b/>
                <w:sz w:val="22"/>
                <w:szCs w:val="22"/>
                <w:highlight w:val="none"/>
              </w:rPr>
            </w:pPr>
            <w:r>
              <w:rPr>
                <w:rFonts w:hint="eastAsia" w:ascii="宋体" w:hAnsi="宋体" w:eastAsia="宋体" w:cs="宋体"/>
                <w:b/>
                <w:sz w:val="22"/>
                <w:szCs w:val="22"/>
                <w:highlight w:val="none"/>
              </w:rPr>
              <w:t>六、样品要求</w:t>
            </w:r>
          </w:p>
          <w:p>
            <w:pPr>
              <w:spacing w:line="400" w:lineRule="exact"/>
              <w:rPr>
                <w:rFonts w:hint="eastAsia" w:ascii="宋体" w:hAnsi="宋体" w:eastAsia="宋体" w:cs="宋体"/>
                <w:b/>
                <w:sz w:val="22"/>
                <w:szCs w:val="22"/>
                <w:highlight w:val="none"/>
              </w:rPr>
            </w:pPr>
            <w:r>
              <w:rPr>
                <w:rFonts w:hint="eastAsia" w:ascii="宋体" w:hAnsi="宋体" w:eastAsia="宋体" w:cs="宋体"/>
                <w:b/>
                <w:sz w:val="22"/>
                <w:szCs w:val="22"/>
                <w:highlight w:val="none"/>
              </w:rPr>
              <w:t>1.供应商须根据以上技术参数和配置要求，提供1套样品（从序号1至序号14为一套新生床上用品）。序号3和4是相同的枕套，可以只提供1个枕套样品。</w:t>
            </w:r>
          </w:p>
          <w:p>
            <w:pPr>
              <w:spacing w:line="400" w:lineRule="exact"/>
              <w:rPr>
                <w:rFonts w:hint="eastAsia" w:ascii="宋体" w:hAnsi="宋体" w:eastAsia="宋体" w:cs="宋体"/>
                <w:b/>
                <w:sz w:val="22"/>
                <w:szCs w:val="22"/>
                <w:highlight w:val="none"/>
              </w:rPr>
            </w:pPr>
            <w:r>
              <w:rPr>
                <w:rFonts w:hint="eastAsia" w:ascii="宋体" w:hAnsi="宋体" w:eastAsia="宋体" w:cs="宋体"/>
                <w:b/>
                <w:sz w:val="22"/>
                <w:szCs w:val="22"/>
                <w:highlight w:val="none"/>
              </w:rPr>
              <w:t>2.</w:t>
            </w:r>
            <w:r>
              <w:rPr>
                <w:rFonts w:hint="eastAsia" w:ascii="宋体" w:hAnsi="宋体" w:eastAsia="宋体" w:cs="宋体"/>
                <w:b/>
                <w:spacing w:val="-6"/>
                <w:sz w:val="22"/>
                <w:szCs w:val="22"/>
                <w:highlight w:val="none"/>
              </w:rPr>
              <w:t>重复提供的被套、床单等样品视为供应商让采购人自由选择的同价产品，给评标专家评分</w:t>
            </w:r>
            <w:r>
              <w:rPr>
                <w:rFonts w:hint="eastAsia" w:ascii="宋体" w:hAnsi="宋体" w:eastAsia="宋体" w:cs="宋体"/>
                <w:b/>
                <w:sz w:val="22"/>
                <w:szCs w:val="22"/>
                <w:highlight w:val="none"/>
              </w:rPr>
              <w:t>。</w:t>
            </w:r>
            <w:r>
              <w:rPr>
                <w:rFonts w:hint="eastAsia" w:ascii="宋体" w:hAnsi="宋体" w:eastAsia="宋体" w:cs="宋体"/>
                <w:b/>
                <w:spacing w:val="-6"/>
                <w:sz w:val="22"/>
                <w:szCs w:val="22"/>
                <w:highlight w:val="none"/>
              </w:rPr>
              <w:t>未提供样品或样品种类提供不全的，样品分均以零分计算。</w:t>
            </w:r>
            <w:r>
              <w:rPr>
                <w:rFonts w:hint="eastAsia" w:ascii="宋体" w:hAnsi="宋体" w:eastAsia="宋体" w:cs="宋体"/>
                <w:b/>
                <w:sz w:val="22"/>
                <w:szCs w:val="22"/>
                <w:highlight w:val="none"/>
              </w:rPr>
              <w:t>评审时可能对棉胎、被套等样品进行破坏性检查，供应商不得要求采购人修复样品。</w:t>
            </w:r>
          </w:p>
          <w:p>
            <w:pPr>
              <w:spacing w:line="400" w:lineRule="exact"/>
              <w:rPr>
                <w:rFonts w:hint="eastAsia" w:ascii="宋体" w:hAnsi="宋体" w:eastAsia="宋体" w:cs="宋体"/>
                <w:b/>
                <w:spacing w:val="-6"/>
                <w:sz w:val="22"/>
                <w:szCs w:val="22"/>
                <w:highlight w:val="none"/>
              </w:rPr>
            </w:pPr>
            <w:r>
              <w:rPr>
                <w:rFonts w:hint="eastAsia" w:ascii="宋体" w:hAnsi="宋体" w:eastAsia="宋体" w:cs="宋体"/>
                <w:b/>
                <w:spacing w:val="-6"/>
                <w:sz w:val="22"/>
                <w:szCs w:val="22"/>
                <w:highlight w:val="none"/>
              </w:rPr>
              <w:t>3.样品递交时间及地点：投标截止时间前送交到标书递交地点，逾期送达将被拒收。</w:t>
            </w:r>
          </w:p>
          <w:p>
            <w:pPr>
              <w:spacing w:line="400" w:lineRule="exact"/>
              <w:rPr>
                <w:rFonts w:hint="eastAsia" w:ascii="宋体" w:hAnsi="宋体" w:eastAsia="宋体" w:cs="宋体"/>
                <w:b/>
                <w:spacing w:val="-6"/>
                <w:sz w:val="22"/>
                <w:szCs w:val="22"/>
                <w:highlight w:val="none"/>
              </w:rPr>
            </w:pPr>
            <w:r>
              <w:rPr>
                <w:rFonts w:hint="eastAsia" w:ascii="宋体" w:hAnsi="宋体" w:eastAsia="宋体" w:cs="宋体"/>
                <w:b/>
                <w:spacing w:val="-6"/>
                <w:sz w:val="22"/>
                <w:szCs w:val="22"/>
                <w:highlight w:val="none"/>
              </w:rPr>
              <w:t>4.中标（入围）供应商的样品将被封存作为货物验收的实物质量验收标准之一；未中标供应商的样品当场撤回，逾期未取回样品，采购人有权自行处置。</w:t>
            </w:r>
          </w:p>
          <w:p>
            <w:pPr>
              <w:spacing w:line="400" w:lineRule="exact"/>
              <w:rPr>
                <w:rFonts w:hint="eastAsia" w:ascii="宋体" w:hAnsi="宋体" w:eastAsia="宋体" w:cs="宋体"/>
                <w:b/>
                <w:sz w:val="22"/>
                <w:szCs w:val="22"/>
                <w:highlight w:val="none"/>
              </w:rPr>
            </w:pPr>
            <w:r>
              <w:rPr>
                <w:rFonts w:hint="eastAsia" w:ascii="宋体" w:hAnsi="宋体" w:eastAsia="宋体" w:cs="宋体"/>
                <w:b/>
                <w:spacing w:val="-6"/>
                <w:sz w:val="22"/>
                <w:szCs w:val="22"/>
                <w:highlight w:val="none"/>
              </w:rPr>
              <w:t>5.温州大学</w:t>
            </w:r>
            <w:r>
              <w:rPr>
                <w:rFonts w:hint="eastAsia" w:ascii="宋体" w:hAnsi="宋体" w:eastAsia="宋体" w:cs="宋体"/>
                <w:b/>
                <w:sz w:val="22"/>
                <w:szCs w:val="22"/>
                <w:highlight w:val="none"/>
              </w:rPr>
              <w:t>根据评标专家和有关人员的推荐意见，</w:t>
            </w:r>
            <w:r>
              <w:rPr>
                <w:rFonts w:hint="eastAsia" w:ascii="宋体" w:hAnsi="宋体" w:eastAsia="宋体" w:cs="宋体"/>
                <w:b/>
                <w:spacing w:val="-6"/>
                <w:sz w:val="22"/>
                <w:szCs w:val="22"/>
                <w:highlight w:val="none"/>
              </w:rPr>
              <w:t>有权规定统一的四件套标准式样；</w:t>
            </w:r>
            <w:r>
              <w:rPr>
                <w:rFonts w:hint="eastAsia" w:ascii="宋体" w:hAnsi="宋体" w:eastAsia="宋体" w:cs="宋体"/>
                <w:b/>
                <w:sz w:val="22"/>
                <w:szCs w:val="22"/>
                <w:highlight w:val="none"/>
              </w:rPr>
              <w:t>在入围者的四件套样品中选定今年四件套的</w:t>
            </w:r>
            <w:r>
              <w:rPr>
                <w:rFonts w:hint="eastAsia" w:ascii="宋体" w:hAnsi="宋体" w:eastAsia="宋体" w:cs="宋体"/>
                <w:b/>
                <w:spacing w:val="-6"/>
                <w:sz w:val="22"/>
                <w:szCs w:val="22"/>
                <w:highlight w:val="none"/>
              </w:rPr>
              <w:t>标准式样后，</w:t>
            </w:r>
            <w:r>
              <w:rPr>
                <w:rFonts w:hint="eastAsia" w:ascii="宋体" w:hAnsi="宋体" w:eastAsia="宋体" w:cs="宋体"/>
                <w:b/>
                <w:sz w:val="22"/>
                <w:szCs w:val="22"/>
                <w:highlight w:val="none"/>
              </w:rPr>
              <w:t xml:space="preserve">其他入围者若有异议，可以在公示期间内选择放弃。 </w:t>
            </w:r>
          </w:p>
          <w:p>
            <w:pPr>
              <w:widowControl/>
              <w:spacing w:line="400" w:lineRule="exact"/>
              <w:rPr>
                <w:rFonts w:hint="eastAsia" w:ascii="宋体" w:hAnsi="宋体" w:eastAsia="宋体" w:cs="宋体"/>
                <w:b/>
                <w:sz w:val="22"/>
                <w:szCs w:val="22"/>
                <w:highlight w:val="none"/>
              </w:rPr>
            </w:pPr>
            <w:r>
              <w:rPr>
                <w:rFonts w:hint="eastAsia" w:ascii="宋体" w:hAnsi="宋体" w:eastAsia="宋体" w:cs="宋体"/>
                <w:b/>
                <w:sz w:val="22"/>
                <w:szCs w:val="22"/>
                <w:highlight w:val="none"/>
              </w:rPr>
              <w:t>七、采购人的权利和义务</w:t>
            </w:r>
          </w:p>
          <w:p>
            <w:pPr>
              <w:spacing w:line="40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1.采购人根据教育厅的要求，代表本校新生们（自愿购买的买方）与入围供应商（卖方）签订合同，行使买方的权利和义务，对货物的质量、发售价格、发售秩序、售后服务等方面行使监督权、检查权。</w:t>
            </w:r>
          </w:p>
          <w:p>
            <w:pPr>
              <w:spacing w:line="40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2.学校除免费提供场地外，不承担货物的运输、装卸、清点、保管、保洁、防潮、发售等义务，对供应商不承担任何责任和费用。</w:t>
            </w:r>
          </w:p>
          <w:p>
            <w:pPr>
              <w:widowControl/>
              <w:spacing w:line="400" w:lineRule="exact"/>
              <w:jc w:val="left"/>
              <w:rPr>
                <w:rFonts w:hint="eastAsia" w:ascii="宋体" w:hAnsi="宋体" w:eastAsia="宋体" w:cs="宋体"/>
                <w:b/>
                <w:sz w:val="22"/>
                <w:szCs w:val="22"/>
                <w:highlight w:val="none"/>
                <w:u w:val="single"/>
              </w:rPr>
            </w:pPr>
            <w:r>
              <w:rPr>
                <w:rFonts w:hint="eastAsia" w:ascii="宋体" w:hAnsi="宋体" w:eastAsia="宋体" w:cs="宋体"/>
                <w:sz w:val="22"/>
                <w:szCs w:val="22"/>
                <w:highlight w:val="none"/>
              </w:rPr>
              <w:t>3.</w:t>
            </w:r>
            <w:r>
              <w:rPr>
                <w:rFonts w:hint="eastAsia" w:ascii="宋体" w:hAnsi="宋体" w:eastAsia="宋体" w:cs="宋体"/>
                <w:b/>
                <w:bCs/>
                <w:sz w:val="22"/>
                <w:szCs w:val="22"/>
                <w:highlight w:val="none"/>
                <w:u w:val="single"/>
              </w:rPr>
              <w:t>▲</w:t>
            </w:r>
            <w:r>
              <w:rPr>
                <w:rFonts w:hint="eastAsia" w:ascii="宋体" w:hAnsi="宋体" w:eastAsia="宋体" w:cs="宋体"/>
                <w:b/>
                <w:spacing w:val="-6"/>
                <w:sz w:val="22"/>
                <w:szCs w:val="22"/>
                <w:highlight w:val="none"/>
                <w:u w:val="single"/>
              </w:rPr>
              <w:t>货物送至学校之后，采购人有权对货物进行</w:t>
            </w:r>
            <w:r>
              <w:rPr>
                <w:rFonts w:hint="eastAsia" w:ascii="宋体" w:hAnsi="宋体" w:eastAsia="宋体" w:cs="宋体"/>
                <w:b/>
                <w:sz w:val="22"/>
                <w:szCs w:val="22"/>
                <w:highlight w:val="none"/>
                <w:u w:val="single"/>
              </w:rPr>
              <w:t>现场随机抽查（1套）</w:t>
            </w:r>
            <w:r>
              <w:rPr>
                <w:rFonts w:hint="eastAsia" w:ascii="宋体" w:hAnsi="宋体" w:eastAsia="宋体" w:cs="宋体"/>
                <w:b/>
                <w:spacing w:val="-6"/>
                <w:sz w:val="22"/>
                <w:szCs w:val="22"/>
                <w:highlight w:val="none"/>
                <w:u w:val="single"/>
              </w:rPr>
              <w:t>，</w:t>
            </w:r>
            <w:r>
              <w:rPr>
                <w:rFonts w:hint="eastAsia" w:ascii="宋体" w:hAnsi="宋体" w:eastAsia="宋体" w:cs="宋体"/>
                <w:b/>
                <w:sz w:val="22"/>
                <w:szCs w:val="22"/>
                <w:highlight w:val="none"/>
                <w:u w:val="single"/>
              </w:rPr>
              <w:t>规格、颜色、外观质量等项目由学校有关部门完成初步验收，棉质等级</w:t>
            </w:r>
            <w:r>
              <w:rPr>
                <w:rFonts w:hint="eastAsia" w:ascii="宋体" w:hAnsi="宋体" w:eastAsia="宋体" w:cs="宋体"/>
                <w:b/>
                <w:spacing w:val="-6"/>
                <w:sz w:val="22"/>
                <w:szCs w:val="22"/>
                <w:highlight w:val="none"/>
                <w:u w:val="single"/>
              </w:rPr>
              <w:t>送至相关权威检测部门进行检测或由省级纤维检验机构来校抽检，检测费用由中标供应商承担。如检测不合格，中标供应商将被取消中标资格、没收履约保证金，并承担因此给采购人造成的损失。</w:t>
            </w:r>
          </w:p>
          <w:p>
            <w:pPr>
              <w:spacing w:line="400" w:lineRule="exact"/>
              <w:rPr>
                <w:rFonts w:hint="eastAsia" w:ascii="宋体" w:hAnsi="宋体" w:eastAsia="宋体" w:cs="宋体"/>
                <w:b/>
                <w:sz w:val="22"/>
                <w:szCs w:val="22"/>
                <w:highlight w:val="none"/>
              </w:rPr>
            </w:pPr>
            <w:r>
              <w:rPr>
                <w:rFonts w:hint="eastAsia" w:ascii="宋体" w:hAnsi="宋体" w:eastAsia="宋体" w:cs="宋体"/>
                <w:b/>
                <w:sz w:val="22"/>
                <w:szCs w:val="22"/>
                <w:highlight w:val="none"/>
              </w:rPr>
              <w:t>八、包装要求</w:t>
            </w:r>
          </w:p>
          <w:p>
            <w:pPr>
              <w:spacing w:line="400" w:lineRule="exact"/>
              <w:rPr>
                <w:rFonts w:hint="eastAsia" w:ascii="宋体" w:hAnsi="宋体" w:eastAsia="宋体" w:cs="宋体"/>
                <w:spacing w:val="-6"/>
                <w:sz w:val="22"/>
                <w:szCs w:val="22"/>
                <w:highlight w:val="none"/>
              </w:rPr>
            </w:pPr>
            <w:r>
              <w:rPr>
                <w:rFonts w:hint="eastAsia" w:ascii="宋体" w:hAnsi="宋体" w:eastAsia="宋体" w:cs="宋体"/>
                <w:spacing w:val="-6"/>
                <w:sz w:val="22"/>
                <w:szCs w:val="22"/>
                <w:highlight w:val="none"/>
              </w:rPr>
              <w:t>1.除口杯、塑料脸盆、竹席外，其他生活用品集中包装到牛津包内，方便搬运、销售；</w:t>
            </w:r>
          </w:p>
          <w:p>
            <w:pPr>
              <w:spacing w:line="400" w:lineRule="exact"/>
              <w:rPr>
                <w:rFonts w:hint="eastAsia" w:ascii="宋体" w:hAnsi="宋体" w:eastAsia="宋体" w:cs="宋体"/>
                <w:spacing w:val="-6"/>
                <w:sz w:val="22"/>
                <w:szCs w:val="22"/>
                <w:highlight w:val="none"/>
              </w:rPr>
            </w:pPr>
            <w:r>
              <w:rPr>
                <w:rFonts w:hint="eastAsia" w:ascii="宋体" w:hAnsi="宋体" w:eastAsia="宋体" w:cs="宋体"/>
                <w:spacing w:val="-6"/>
                <w:sz w:val="22"/>
                <w:szCs w:val="22"/>
                <w:highlight w:val="none"/>
              </w:rPr>
              <w:t>2.牛津包本身是采购货物之一，不是产品外包装，供货时须带上预备的牛津包，须对装卸搬运中损坏的牛津包予以更换；</w:t>
            </w:r>
          </w:p>
          <w:p>
            <w:pPr>
              <w:spacing w:line="400" w:lineRule="exact"/>
              <w:rPr>
                <w:rFonts w:hint="eastAsia" w:ascii="宋体" w:hAnsi="宋体" w:eastAsia="宋体" w:cs="宋体"/>
                <w:spacing w:val="-6"/>
                <w:sz w:val="22"/>
                <w:szCs w:val="22"/>
                <w:highlight w:val="none"/>
              </w:rPr>
            </w:pPr>
            <w:r>
              <w:rPr>
                <w:rFonts w:hint="eastAsia" w:ascii="宋体" w:hAnsi="宋体" w:eastAsia="宋体" w:cs="宋体"/>
                <w:spacing w:val="-6"/>
                <w:sz w:val="22"/>
                <w:szCs w:val="22"/>
                <w:highlight w:val="none"/>
              </w:rPr>
              <w:t>3.床上用品包内要放物品清单及相关说明，方便学生领取时验收货物数量并签字确认；</w:t>
            </w:r>
          </w:p>
          <w:p>
            <w:pPr>
              <w:spacing w:line="400" w:lineRule="exact"/>
              <w:rPr>
                <w:rFonts w:hint="eastAsia" w:ascii="宋体" w:hAnsi="宋体" w:eastAsia="宋体" w:cs="宋体"/>
                <w:b/>
                <w:bCs/>
                <w:spacing w:val="-6"/>
                <w:sz w:val="22"/>
                <w:szCs w:val="22"/>
                <w:highlight w:val="none"/>
              </w:rPr>
            </w:pPr>
            <w:r>
              <w:rPr>
                <w:rFonts w:hint="eastAsia" w:ascii="宋体" w:hAnsi="宋体" w:eastAsia="宋体" w:cs="宋体"/>
                <w:b/>
                <w:bCs/>
                <w:spacing w:val="-6"/>
                <w:sz w:val="22"/>
                <w:szCs w:val="22"/>
                <w:highlight w:val="none"/>
              </w:rPr>
              <w:t>4.注意清单中有两个一样的枕套，是方便学生经常换洗的。若发现中标供应商少发1个枕套视为故意行为，将以违规处理。</w:t>
            </w:r>
          </w:p>
          <w:p>
            <w:pPr>
              <w:spacing w:line="400" w:lineRule="exact"/>
              <w:rPr>
                <w:rFonts w:hint="eastAsia" w:ascii="宋体" w:hAnsi="宋体" w:eastAsia="宋体" w:cs="宋体"/>
                <w:b/>
                <w:spacing w:val="-6"/>
                <w:sz w:val="22"/>
                <w:szCs w:val="22"/>
                <w:highlight w:val="none"/>
              </w:rPr>
            </w:pPr>
            <w:r>
              <w:rPr>
                <w:rFonts w:hint="eastAsia" w:ascii="宋体" w:hAnsi="宋体" w:eastAsia="宋体" w:cs="宋体"/>
                <w:b/>
                <w:spacing w:val="-6"/>
                <w:sz w:val="22"/>
                <w:szCs w:val="22"/>
                <w:highlight w:val="none"/>
              </w:rPr>
              <w:t>九、特别提示</w:t>
            </w:r>
          </w:p>
          <w:p>
            <w:pPr>
              <w:spacing w:line="400" w:lineRule="exact"/>
              <w:rPr>
                <w:rFonts w:hint="eastAsia" w:ascii="宋体" w:hAnsi="宋体" w:eastAsia="宋体" w:cs="宋体"/>
                <w:b/>
                <w:spacing w:val="-6"/>
                <w:sz w:val="22"/>
                <w:szCs w:val="22"/>
                <w:highlight w:val="none"/>
              </w:rPr>
            </w:pPr>
            <w:r>
              <w:rPr>
                <w:rFonts w:hint="eastAsia" w:ascii="宋体" w:hAnsi="宋体" w:eastAsia="宋体" w:cs="宋体"/>
                <w:b/>
                <w:spacing w:val="-6"/>
                <w:sz w:val="22"/>
                <w:szCs w:val="22"/>
                <w:highlight w:val="none"/>
              </w:rPr>
              <w:t>响应供应商应在响应文件中提供梳棉盖胎、梳棉垫胎、被套、床单（被单）的省级或国家纤维检验机构的检测/检验报告。</w:t>
            </w:r>
          </w:p>
        </w:tc>
      </w:tr>
    </w:tbl>
    <w:p>
      <w:pPr>
        <w:snapToGrid w:val="0"/>
        <w:spacing w:line="360" w:lineRule="exact"/>
        <w:rPr>
          <w:rFonts w:ascii="宋体" w:hAnsi="宋体" w:cs="宋体"/>
          <w:b/>
          <w:spacing w:val="-6"/>
          <w:sz w:val="22"/>
          <w:szCs w:val="22"/>
          <w:highlight w:val="none"/>
        </w:rPr>
      </w:pPr>
    </w:p>
    <w:p>
      <w:pPr>
        <w:numPr>
          <w:ilvl w:val="0"/>
          <w:numId w:val="2"/>
        </w:numPr>
        <w:snapToGrid w:val="0"/>
        <w:spacing w:line="360" w:lineRule="exact"/>
        <w:rPr>
          <w:rFonts w:ascii="宋体" w:hAnsi="宋体" w:cs="宋体"/>
          <w:b/>
          <w:spacing w:val="-6"/>
          <w:sz w:val="22"/>
          <w:szCs w:val="22"/>
          <w:highlight w:val="none"/>
        </w:rPr>
      </w:pPr>
      <w:r>
        <w:rPr>
          <w:rFonts w:hint="eastAsia" w:ascii="宋体" w:hAnsi="宋体" w:cs="宋体"/>
          <w:b/>
          <w:spacing w:val="-6"/>
          <w:sz w:val="22"/>
          <w:szCs w:val="22"/>
          <w:highlight w:val="none"/>
        </w:rPr>
        <w:t>其他</w:t>
      </w:r>
    </w:p>
    <w:p>
      <w:pPr>
        <w:spacing w:line="360" w:lineRule="exact"/>
        <w:ind w:firstLine="313" w:firstLineChars="150"/>
        <w:rPr>
          <w:rFonts w:hint="eastAsia" w:ascii="宋体" w:hAnsi="宋体" w:cs="宋体"/>
          <w:b/>
          <w:spacing w:val="-6"/>
          <w:sz w:val="22"/>
          <w:szCs w:val="22"/>
          <w:highlight w:val="none"/>
        </w:rPr>
      </w:pPr>
      <w:r>
        <w:rPr>
          <w:rFonts w:hint="eastAsia" w:ascii="宋体" w:hAnsi="宋体" w:cs="宋体"/>
          <w:b/>
          <w:spacing w:val="-6"/>
          <w:sz w:val="22"/>
          <w:szCs w:val="22"/>
          <w:highlight w:val="none"/>
        </w:rPr>
        <w:t>1、标“▲且加下划线”的有关技术和商务要求为实质性条款，响应方必须做出实质性响应</w:t>
      </w:r>
      <w:r>
        <w:rPr>
          <w:rFonts w:hint="eastAsia" w:ascii="宋体" w:hAnsi="宋体" w:cs="宋体"/>
          <w:b/>
          <w:bCs/>
          <w:spacing w:val="-6"/>
          <w:sz w:val="22"/>
          <w:szCs w:val="22"/>
          <w:highlight w:val="none"/>
        </w:rPr>
        <w:t>，否则视为无效响应文件。</w:t>
      </w:r>
      <w:r>
        <w:rPr>
          <w:rFonts w:hint="eastAsia" w:ascii="宋体" w:hAnsi="宋体" w:cs="宋体"/>
          <w:b/>
          <w:spacing w:val="-6"/>
          <w:sz w:val="22"/>
          <w:szCs w:val="22"/>
          <w:highlight w:val="none"/>
        </w:rPr>
        <w:t>除此之外其余的指标、服务要求以及合同条款可在磋商现场，根据磋商小组与供应商的磋商进行变动。</w:t>
      </w:r>
    </w:p>
    <w:p>
      <w:pPr>
        <w:spacing w:line="360" w:lineRule="exact"/>
        <w:ind w:firstLine="418" w:firstLineChars="200"/>
        <w:rPr>
          <w:rFonts w:hint="eastAsia" w:ascii="宋体" w:hAnsi="宋体" w:cs="宋体"/>
          <w:b/>
          <w:bCs/>
          <w:kern w:val="0"/>
          <w:sz w:val="22"/>
          <w:szCs w:val="22"/>
          <w:highlight w:val="none"/>
        </w:rPr>
      </w:pPr>
      <w:r>
        <w:rPr>
          <w:rFonts w:hint="eastAsia" w:ascii="宋体" w:hAnsi="宋体" w:cs="宋体"/>
          <w:b/>
          <w:spacing w:val="-6"/>
          <w:sz w:val="22"/>
          <w:szCs w:val="22"/>
          <w:highlight w:val="none"/>
        </w:rPr>
        <w:t>2、除磋商文件中所明确的采购需求规格外，欢迎其他能满足本项目采购需求且性能相当于或高于所明确的产品参加磋商报价。同时在采购需求偏离表中作出详细对比说明</w:t>
      </w:r>
      <w:r>
        <w:rPr>
          <w:rFonts w:hint="eastAsia" w:ascii="宋体" w:hAnsi="宋体" w:cs="宋体"/>
          <w:b/>
          <w:bCs/>
          <w:kern w:val="0"/>
          <w:sz w:val="22"/>
          <w:szCs w:val="22"/>
          <w:highlight w:val="none"/>
        </w:rPr>
        <w:t>。</w:t>
      </w:r>
    </w:p>
    <w:p>
      <w:pPr>
        <w:snapToGrid w:val="0"/>
        <w:spacing w:line="360" w:lineRule="exact"/>
        <w:ind w:firstLine="418" w:firstLineChars="200"/>
        <w:jc w:val="left"/>
        <w:rPr>
          <w:rFonts w:hint="eastAsia" w:ascii="宋体" w:hAnsi="宋体" w:cs="宋体"/>
          <w:b/>
          <w:sz w:val="30"/>
          <w:szCs w:val="30"/>
          <w:highlight w:val="none"/>
        </w:rPr>
      </w:pPr>
      <w:r>
        <w:rPr>
          <w:rFonts w:hint="eastAsia" w:ascii="宋体" w:hAnsi="宋体" w:cs="宋体"/>
          <w:b/>
          <w:spacing w:val="-6"/>
          <w:sz w:val="22"/>
          <w:szCs w:val="22"/>
          <w:highlight w:val="none"/>
        </w:rPr>
        <w:t>3.如技术部分中未特别注明需执行的国家相关标准、行业标准、地方标准或者其他标准、规范，则统一执行最新标准、规范。</w:t>
      </w:r>
    </w:p>
    <w:bookmarkEnd w:id="0"/>
    <w:p>
      <w:pPr>
        <w:adjustRightInd w:val="0"/>
        <w:snapToGrid w:val="0"/>
        <w:spacing w:before="120" w:beforeLines="50" w:after="120" w:afterLines="50" w:line="360" w:lineRule="auto"/>
        <w:jc w:val="center"/>
        <w:outlineLvl w:val="0"/>
        <w:rPr>
          <w:rFonts w:hint="eastAsia" w:ascii="宋体" w:hAnsi="宋体" w:cs="宋体"/>
          <w:b/>
          <w:sz w:val="32"/>
          <w:szCs w:val="32"/>
          <w:highlight w:val="none"/>
        </w:rPr>
      </w:pPr>
    </w:p>
    <w:p>
      <w:pPr>
        <w:adjustRightInd w:val="0"/>
        <w:snapToGrid w:val="0"/>
        <w:spacing w:before="120" w:beforeLines="50" w:after="120" w:afterLines="50" w:line="360" w:lineRule="auto"/>
        <w:jc w:val="center"/>
        <w:outlineLvl w:val="0"/>
        <w:rPr>
          <w:rFonts w:hint="eastAsia" w:ascii="宋体" w:hAnsi="宋体" w:cs="宋体"/>
          <w:b/>
          <w:sz w:val="32"/>
          <w:szCs w:val="32"/>
          <w:highlight w:val="none"/>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82BFD4"/>
    <w:multiLevelType w:val="singleLevel"/>
    <w:tmpl w:val="EF82BFD4"/>
    <w:lvl w:ilvl="0" w:tentative="0">
      <w:start w:val="3"/>
      <w:numFmt w:val="chineseCounting"/>
      <w:suff w:val="nothing"/>
      <w:lvlText w:val="%1、"/>
      <w:lvlJc w:val="left"/>
      <w:rPr>
        <w:rFonts w:hint="eastAsia"/>
      </w:rPr>
    </w:lvl>
  </w:abstractNum>
  <w:abstractNum w:abstractNumId="1">
    <w:nsid w:val="0FF78F77"/>
    <w:multiLevelType w:val="singleLevel"/>
    <w:tmpl w:val="0FF78F7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yZDZkNDc1Yzg5ZjQ2NWEzMDlmNTdkMDVlOWRjM2UifQ=="/>
  </w:docVars>
  <w:rsids>
    <w:rsidRoot w:val="00000000"/>
    <w:rsid w:val="29EC1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adjustRightInd w:val="0"/>
      <w:spacing w:before="340" w:after="330" w:line="360" w:lineRule="auto"/>
      <w:jc w:val="center"/>
      <w:outlineLvl w:val="0"/>
    </w:pPr>
    <w:rPr>
      <w:rFonts w:eastAsia="黑体"/>
      <w:b/>
      <w:bCs/>
      <w:kern w:val="44"/>
      <w:sz w:val="36"/>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lock Text"/>
    <w:basedOn w:val="1"/>
    <w:qFormat/>
    <w:uiPriority w:val="99"/>
    <w:pPr>
      <w:adjustRightInd w:val="0"/>
      <w:spacing w:line="300" w:lineRule="auto"/>
      <w:ind w:left="958" w:rightChars="-120"/>
      <w:jc w:val="left"/>
    </w:pPr>
    <w:rPr>
      <w:rFonts w:ascii="宋体" w:hAnsi="宋体"/>
      <w:sz w:val="28"/>
    </w:rPr>
  </w:style>
  <w:style w:type="paragraph" w:styleId="4">
    <w:name w:val="Plain Text"/>
    <w:basedOn w:val="1"/>
    <w:qFormat/>
    <w:uiPriority w:val="99"/>
    <w:rPr>
      <w:rFonts w:ascii="宋体" w:hAnsi="Courier New" w:cs="Courier New"/>
      <w:snapToGrid w:val="0"/>
      <w:sz w:val="18"/>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2022-06-28T01:55:38Z</dcterms:created>
  <dc:creator>乐诚</dc:creator>
  <cp:lastModifiedBy>乐诚</cp:lastModifiedBy>
  <dcterms:modified xsi:type="dcterms:W3CDTF">2022-06-28T01:55:41Z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E793A0AFF3C644E895585532F88BA68D</vt:lpwstr>
  </property>
</Properties>
</file>